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1303" w14:textId="77777777" w:rsidR="00D86358" w:rsidRPr="00FE3E9C" w:rsidRDefault="009E4814">
      <w:pPr>
        <w:rPr>
          <w:b/>
          <w:color w:val="FF0000"/>
          <w:sz w:val="28"/>
          <w:szCs w:val="28"/>
        </w:rPr>
      </w:pPr>
      <w:r w:rsidRPr="00FE3E9C">
        <w:rPr>
          <w:b/>
          <w:color w:val="FF0000"/>
          <w:sz w:val="28"/>
          <w:szCs w:val="28"/>
        </w:rPr>
        <w:t>Proverbs 3:5,6</w:t>
      </w:r>
    </w:p>
    <w:p w14:paraId="67C34BAE" w14:textId="77777777" w:rsidR="009E4814" w:rsidRPr="00FE3E9C" w:rsidRDefault="009E4814">
      <w:pPr>
        <w:rPr>
          <w:b/>
          <w:color w:val="FF0000"/>
          <w:sz w:val="28"/>
          <w:szCs w:val="28"/>
        </w:rPr>
      </w:pPr>
    </w:p>
    <w:p w14:paraId="4A3B3A23" w14:textId="77777777" w:rsidR="009E4814" w:rsidRPr="00FE3E9C" w:rsidRDefault="009E4814">
      <w:pPr>
        <w:rPr>
          <w:b/>
          <w:color w:val="FF0000"/>
          <w:sz w:val="28"/>
          <w:szCs w:val="28"/>
        </w:rPr>
      </w:pPr>
      <w:r w:rsidRPr="00FE3E9C">
        <w:rPr>
          <w:b/>
          <w:color w:val="FF0000"/>
          <w:sz w:val="28"/>
          <w:szCs w:val="28"/>
        </w:rPr>
        <w:t>Trust in the Lord with all thine heart; and lean not unto thine own understanding.</w:t>
      </w:r>
    </w:p>
    <w:p w14:paraId="5D322814" w14:textId="77777777" w:rsidR="009E4814" w:rsidRPr="00FE3E9C" w:rsidRDefault="009E4814">
      <w:pPr>
        <w:rPr>
          <w:b/>
          <w:color w:val="FF0000"/>
          <w:sz w:val="28"/>
          <w:szCs w:val="28"/>
        </w:rPr>
      </w:pPr>
      <w:bookmarkStart w:id="0" w:name="_GoBack"/>
    </w:p>
    <w:bookmarkEnd w:id="0"/>
    <w:p w14:paraId="68387F86" w14:textId="77777777" w:rsidR="009E4814" w:rsidRPr="00FE3E9C" w:rsidRDefault="009E4814">
      <w:pPr>
        <w:rPr>
          <w:b/>
          <w:color w:val="FF0000"/>
          <w:sz w:val="28"/>
          <w:szCs w:val="28"/>
        </w:rPr>
      </w:pPr>
      <w:r w:rsidRPr="00FE3E9C">
        <w:rPr>
          <w:b/>
          <w:color w:val="FF0000"/>
          <w:sz w:val="28"/>
          <w:szCs w:val="28"/>
        </w:rPr>
        <w:t>In all thy ways acknowledge him, and he shall direct thy paths.</w:t>
      </w:r>
    </w:p>
    <w:p w14:paraId="5A8125F9" w14:textId="77777777" w:rsidR="009E4814" w:rsidRDefault="009E4814"/>
    <w:p w14:paraId="279AA9AF" w14:textId="77777777" w:rsidR="009E4814" w:rsidRDefault="009E4814">
      <w:r w:rsidRPr="00FE3E9C">
        <w:rPr>
          <w:b/>
          <w:u w:val="single"/>
        </w:rPr>
        <w:t>Trust</w:t>
      </w:r>
      <w:r>
        <w:t xml:space="preserve"> in Heb</w:t>
      </w:r>
      <w:r w:rsidR="00FE3E9C">
        <w:t>re</w:t>
      </w:r>
      <w:r>
        <w:t xml:space="preserve">w: </w:t>
      </w:r>
      <w:proofErr w:type="spellStart"/>
      <w:r w:rsidRPr="00FE3E9C">
        <w:rPr>
          <w:i/>
        </w:rPr>
        <w:t>batach</w:t>
      </w:r>
      <w:proofErr w:type="spellEnd"/>
      <w:r>
        <w:t xml:space="preserve"> (</w:t>
      </w:r>
      <w:proofErr w:type="spellStart"/>
      <w:r>
        <w:t>Stron’gs</w:t>
      </w:r>
      <w:proofErr w:type="spellEnd"/>
      <w:r>
        <w:t xml:space="preserve"> 982)</w:t>
      </w:r>
    </w:p>
    <w:p w14:paraId="736C6B73" w14:textId="77777777" w:rsidR="009E4814" w:rsidRDefault="009E4814" w:rsidP="009E4814">
      <w:pPr>
        <w:pStyle w:val="ListParagraph"/>
        <w:numPr>
          <w:ilvl w:val="0"/>
          <w:numId w:val="1"/>
        </w:numPr>
      </w:pPr>
      <w:r>
        <w:t>Have confidence in</w:t>
      </w:r>
    </w:p>
    <w:p w14:paraId="2163028E" w14:textId="77777777" w:rsidR="009E4814" w:rsidRDefault="009E4814" w:rsidP="009E4814">
      <w:pPr>
        <w:pStyle w:val="ListParagraph"/>
        <w:numPr>
          <w:ilvl w:val="0"/>
          <w:numId w:val="1"/>
        </w:numPr>
      </w:pPr>
      <w:r>
        <w:t>Be secure</w:t>
      </w:r>
    </w:p>
    <w:p w14:paraId="6E65CB17" w14:textId="77777777" w:rsidR="009E4814" w:rsidRDefault="009E4814" w:rsidP="009E4814">
      <w:pPr>
        <w:pStyle w:val="ListParagraph"/>
        <w:numPr>
          <w:ilvl w:val="0"/>
          <w:numId w:val="1"/>
        </w:numPr>
      </w:pPr>
      <w:r>
        <w:t>Bold; hope in</w:t>
      </w:r>
    </w:p>
    <w:p w14:paraId="522D1276" w14:textId="77777777" w:rsidR="009E4814" w:rsidRDefault="009E4814" w:rsidP="009E4814">
      <w:pPr>
        <w:pStyle w:val="ListParagraph"/>
        <w:numPr>
          <w:ilvl w:val="0"/>
          <w:numId w:val="1"/>
        </w:numPr>
      </w:pPr>
      <w:r>
        <w:t>Cause to trust; feel safe</w:t>
      </w:r>
    </w:p>
    <w:p w14:paraId="262A224B" w14:textId="77777777" w:rsidR="009E4814" w:rsidRDefault="009E4814" w:rsidP="009E4814">
      <w:pPr>
        <w:pStyle w:val="ListParagraph"/>
        <w:numPr>
          <w:ilvl w:val="0"/>
          <w:numId w:val="1"/>
        </w:numPr>
      </w:pPr>
      <w:r>
        <w:t>Take refuge in</w:t>
      </w:r>
    </w:p>
    <w:p w14:paraId="39726087" w14:textId="77777777" w:rsidR="009E4814" w:rsidRDefault="009E4814" w:rsidP="009E4814">
      <w:pPr>
        <w:pStyle w:val="ListParagraph"/>
        <w:numPr>
          <w:ilvl w:val="0"/>
          <w:numId w:val="1"/>
        </w:numPr>
      </w:pPr>
      <w:r>
        <w:t>To be sure</w:t>
      </w:r>
    </w:p>
    <w:p w14:paraId="73EDE73E" w14:textId="77777777" w:rsidR="009E4814" w:rsidRDefault="009E4814" w:rsidP="009E4814">
      <w:pPr>
        <w:pStyle w:val="ListParagraph"/>
        <w:numPr>
          <w:ilvl w:val="0"/>
          <w:numId w:val="1"/>
        </w:numPr>
      </w:pPr>
      <w:r>
        <w:t>To set one’s hope and confidence in</w:t>
      </w:r>
    </w:p>
    <w:p w14:paraId="08CD2B50" w14:textId="77777777" w:rsidR="009E4814" w:rsidRDefault="009E4814" w:rsidP="009E4814"/>
    <w:p w14:paraId="42036438" w14:textId="77777777" w:rsidR="009E4814" w:rsidRDefault="009E4814" w:rsidP="009E4814"/>
    <w:p w14:paraId="17288F1D" w14:textId="77777777" w:rsidR="009E4814" w:rsidRDefault="009E4814" w:rsidP="009E4814">
      <w:r w:rsidRPr="00FE3E9C">
        <w:rPr>
          <w:b/>
          <w:u w:val="single"/>
        </w:rPr>
        <w:t>Lean</w:t>
      </w:r>
      <w:r>
        <w:t xml:space="preserve"> in Hebrew: </w:t>
      </w:r>
      <w:proofErr w:type="spellStart"/>
      <w:r w:rsidRPr="00FE3E9C">
        <w:rPr>
          <w:i/>
        </w:rPr>
        <w:t>sha’an</w:t>
      </w:r>
      <w:proofErr w:type="spellEnd"/>
      <w:r>
        <w:t xml:space="preserve"> (Strong’s 8172)</w:t>
      </w:r>
    </w:p>
    <w:p w14:paraId="0A070C0D" w14:textId="77777777" w:rsidR="009E4814" w:rsidRDefault="009E4814" w:rsidP="009E4814">
      <w:pPr>
        <w:pStyle w:val="ListParagraph"/>
        <w:numPr>
          <w:ilvl w:val="0"/>
          <w:numId w:val="1"/>
        </w:numPr>
      </w:pPr>
      <w:r>
        <w:t>Lean on or against</w:t>
      </w:r>
    </w:p>
    <w:p w14:paraId="4B661142" w14:textId="77777777" w:rsidR="009E4814" w:rsidRDefault="009E4814" w:rsidP="009E4814">
      <w:pPr>
        <w:pStyle w:val="ListParagraph"/>
        <w:numPr>
          <w:ilvl w:val="0"/>
          <w:numId w:val="1"/>
        </w:numPr>
      </w:pPr>
      <w:r>
        <w:t>Trust in</w:t>
      </w:r>
    </w:p>
    <w:p w14:paraId="25B0F635" w14:textId="77777777" w:rsidR="009E4814" w:rsidRDefault="009E4814" w:rsidP="009E4814">
      <w:pPr>
        <w:pStyle w:val="ListParagraph"/>
        <w:numPr>
          <w:ilvl w:val="0"/>
          <w:numId w:val="1"/>
        </w:numPr>
      </w:pPr>
      <w:r>
        <w:t>Find support</w:t>
      </w:r>
    </w:p>
    <w:p w14:paraId="10E211F1" w14:textId="77777777" w:rsidR="009E4814" w:rsidRDefault="009E4814" w:rsidP="009E4814">
      <w:pPr>
        <w:pStyle w:val="ListParagraph"/>
        <w:numPr>
          <w:ilvl w:val="0"/>
          <w:numId w:val="1"/>
        </w:numPr>
      </w:pPr>
      <w:r>
        <w:t>Trust in God</w:t>
      </w:r>
    </w:p>
    <w:p w14:paraId="4BD7175A" w14:textId="77777777" w:rsidR="009E4814" w:rsidRDefault="009E4814" w:rsidP="009E4814">
      <w:pPr>
        <w:pStyle w:val="ListParagraph"/>
        <w:numPr>
          <w:ilvl w:val="0"/>
          <w:numId w:val="1"/>
        </w:numPr>
      </w:pPr>
      <w:r>
        <w:t>Rely; stay</w:t>
      </w:r>
    </w:p>
    <w:p w14:paraId="15A7B881" w14:textId="77777777" w:rsidR="009E4814" w:rsidRDefault="009E4814" w:rsidP="009E4814">
      <w:pPr>
        <w:pStyle w:val="ListParagraph"/>
        <w:numPr>
          <w:ilvl w:val="0"/>
          <w:numId w:val="1"/>
        </w:numPr>
      </w:pPr>
      <w:r>
        <w:t>To rest upon</w:t>
      </w:r>
    </w:p>
    <w:p w14:paraId="5E5DFA6A" w14:textId="77777777" w:rsidR="009E4814" w:rsidRDefault="009E4814" w:rsidP="009E4814">
      <w:pPr>
        <w:pStyle w:val="ListParagraph"/>
        <w:numPr>
          <w:ilvl w:val="0"/>
          <w:numId w:val="1"/>
        </w:numPr>
      </w:pPr>
      <w:r>
        <w:t>To lean on any one’s hand</w:t>
      </w:r>
    </w:p>
    <w:p w14:paraId="565C8E45" w14:textId="77777777" w:rsidR="009E4814" w:rsidRDefault="009E4814" w:rsidP="009E4814">
      <w:pPr>
        <w:pStyle w:val="ListParagraph"/>
        <w:numPr>
          <w:ilvl w:val="0"/>
          <w:numId w:val="1"/>
        </w:numPr>
      </w:pPr>
      <w:r>
        <w:t xml:space="preserve">To place confident in </w:t>
      </w:r>
    </w:p>
    <w:p w14:paraId="37CADE22" w14:textId="77777777" w:rsidR="009E4814" w:rsidRDefault="009E4814" w:rsidP="009E4814"/>
    <w:p w14:paraId="7CB89BDC" w14:textId="77777777" w:rsidR="009E4814" w:rsidRDefault="009E4814" w:rsidP="009E4814">
      <w:r w:rsidRPr="00FE3E9C">
        <w:rPr>
          <w:b/>
          <w:u w:val="single"/>
        </w:rPr>
        <w:t>Understanding</w:t>
      </w:r>
      <w:r>
        <w:t xml:space="preserve"> in Hebrew: </w:t>
      </w:r>
      <w:proofErr w:type="spellStart"/>
      <w:r w:rsidRPr="00FE3E9C">
        <w:rPr>
          <w:i/>
        </w:rPr>
        <w:t>biynah</w:t>
      </w:r>
      <w:proofErr w:type="spellEnd"/>
      <w:r>
        <w:t xml:space="preserve"> (Strong’s 998)</w:t>
      </w:r>
    </w:p>
    <w:p w14:paraId="51403B23" w14:textId="77777777" w:rsidR="009E4814" w:rsidRDefault="009E4814" w:rsidP="009E4814">
      <w:pPr>
        <w:pStyle w:val="ListParagraph"/>
        <w:numPr>
          <w:ilvl w:val="0"/>
          <w:numId w:val="1"/>
        </w:numPr>
      </w:pPr>
      <w:r>
        <w:t>Understanding; discernment</w:t>
      </w:r>
    </w:p>
    <w:p w14:paraId="28297D11" w14:textId="77777777" w:rsidR="009E4814" w:rsidRDefault="009E4814" w:rsidP="009E4814">
      <w:pPr>
        <w:pStyle w:val="ListParagraph"/>
        <w:numPr>
          <w:ilvl w:val="0"/>
          <w:numId w:val="1"/>
        </w:numPr>
      </w:pPr>
      <w:r>
        <w:t>Faculty</w:t>
      </w:r>
    </w:p>
    <w:p w14:paraId="5AAFB65D" w14:textId="77777777" w:rsidR="009E4814" w:rsidRDefault="009E4814" w:rsidP="009E4814">
      <w:pPr>
        <w:pStyle w:val="ListParagraph"/>
        <w:numPr>
          <w:ilvl w:val="0"/>
          <w:numId w:val="1"/>
        </w:numPr>
      </w:pPr>
      <w:r>
        <w:t>Intelligence</w:t>
      </w:r>
    </w:p>
    <w:p w14:paraId="21F3E8AD" w14:textId="77777777" w:rsidR="009E4814" w:rsidRDefault="009E4814" w:rsidP="009E4814">
      <w:pPr>
        <w:pStyle w:val="ListParagraph"/>
        <w:numPr>
          <w:ilvl w:val="0"/>
          <w:numId w:val="1"/>
        </w:numPr>
      </w:pPr>
      <w:r>
        <w:t>Skill</w:t>
      </w:r>
    </w:p>
    <w:p w14:paraId="2531F4FD" w14:textId="77777777" w:rsidR="009E4814" w:rsidRDefault="009E4814" w:rsidP="009E4814"/>
    <w:p w14:paraId="17E84434" w14:textId="77777777" w:rsidR="00F77D6A" w:rsidRDefault="00F77D6A" w:rsidP="009E4814"/>
    <w:p w14:paraId="23F22491" w14:textId="77777777" w:rsidR="00FE3E9C" w:rsidRDefault="00FE3E9C" w:rsidP="009E4814"/>
    <w:p w14:paraId="1B718F7E" w14:textId="77777777" w:rsidR="00FE3E9C" w:rsidRDefault="00FE3E9C" w:rsidP="009E4814"/>
    <w:p w14:paraId="6E9A8CD1" w14:textId="77777777" w:rsidR="00FE3E9C" w:rsidRDefault="00FE3E9C" w:rsidP="009E4814"/>
    <w:p w14:paraId="3A192909" w14:textId="77777777" w:rsidR="00FE3E9C" w:rsidRDefault="00FE3E9C" w:rsidP="009E4814"/>
    <w:p w14:paraId="72480287" w14:textId="77777777" w:rsidR="00FE3E9C" w:rsidRDefault="00FE3E9C" w:rsidP="009E4814"/>
    <w:p w14:paraId="4F95E117" w14:textId="77777777" w:rsidR="00FE3E9C" w:rsidRDefault="00FE3E9C" w:rsidP="009E4814"/>
    <w:p w14:paraId="43E9067F" w14:textId="77777777" w:rsidR="00FE3E9C" w:rsidRDefault="00FE3E9C" w:rsidP="009E4814"/>
    <w:p w14:paraId="5DAB197D" w14:textId="77777777" w:rsidR="00FE3E9C" w:rsidRDefault="00FE3E9C" w:rsidP="009E4814"/>
    <w:p w14:paraId="07FDCB12" w14:textId="77777777" w:rsidR="00FE3E9C" w:rsidRDefault="00FE3E9C" w:rsidP="009E4814"/>
    <w:p w14:paraId="2E643247" w14:textId="77777777" w:rsidR="00FE3E9C" w:rsidRDefault="00FE3E9C" w:rsidP="009E4814"/>
    <w:p w14:paraId="54E9A53C" w14:textId="77777777" w:rsidR="00FE3E9C" w:rsidRDefault="00FE3E9C" w:rsidP="009E4814"/>
    <w:p w14:paraId="2274C7AA" w14:textId="77777777" w:rsidR="00FE3E9C" w:rsidRDefault="00FE3E9C" w:rsidP="009E4814"/>
    <w:p w14:paraId="751C8891" w14:textId="77777777" w:rsidR="00FE3E9C" w:rsidRDefault="00FE3E9C" w:rsidP="009E4814"/>
    <w:p w14:paraId="62B00B46" w14:textId="77777777" w:rsidR="00FE3E9C" w:rsidRDefault="00FE3E9C" w:rsidP="009E4814"/>
    <w:p w14:paraId="16AD6C27" w14:textId="77777777" w:rsidR="00FE3E9C" w:rsidRDefault="00FE3E9C" w:rsidP="009E4814"/>
    <w:p w14:paraId="161AC0FA" w14:textId="77777777" w:rsidR="009E4814" w:rsidRDefault="009E4814" w:rsidP="009E4814">
      <w:r w:rsidRPr="00FE3E9C">
        <w:rPr>
          <w:b/>
          <w:u w:val="single"/>
        </w:rPr>
        <w:t>Ways</w:t>
      </w:r>
      <w:r>
        <w:t xml:space="preserve"> in Hebrew: </w:t>
      </w:r>
      <w:proofErr w:type="spellStart"/>
      <w:r w:rsidRPr="00FE3E9C">
        <w:rPr>
          <w:i/>
        </w:rPr>
        <w:t>derek</w:t>
      </w:r>
      <w:proofErr w:type="spellEnd"/>
      <w:r>
        <w:t xml:space="preserve"> (Strong’s 1870)</w:t>
      </w:r>
    </w:p>
    <w:p w14:paraId="1B6A0220" w14:textId="77777777" w:rsidR="009E4814" w:rsidRDefault="009E4814" w:rsidP="009E4814">
      <w:pPr>
        <w:pStyle w:val="ListParagraph"/>
        <w:numPr>
          <w:ilvl w:val="0"/>
          <w:numId w:val="1"/>
        </w:numPr>
      </w:pPr>
      <w:r>
        <w:t>Road; distance; journey; path; direction</w:t>
      </w:r>
    </w:p>
    <w:p w14:paraId="4CE04E28" w14:textId="77777777" w:rsidR="009E4814" w:rsidRDefault="009E4814" w:rsidP="009E4814">
      <w:pPr>
        <w:pStyle w:val="ListParagraph"/>
        <w:numPr>
          <w:ilvl w:val="0"/>
          <w:numId w:val="1"/>
        </w:numPr>
      </w:pPr>
      <w:r>
        <w:t>Course of life</w:t>
      </w:r>
    </w:p>
    <w:p w14:paraId="542327C7" w14:textId="77777777" w:rsidR="009E4814" w:rsidRDefault="009E4814" w:rsidP="009E4814">
      <w:pPr>
        <w:pStyle w:val="ListParagraph"/>
        <w:numPr>
          <w:ilvl w:val="0"/>
          <w:numId w:val="1"/>
        </w:numPr>
      </w:pPr>
      <w:r>
        <w:t>Of moral character</w:t>
      </w:r>
    </w:p>
    <w:p w14:paraId="63B9CF90" w14:textId="77777777" w:rsidR="009E4814" w:rsidRDefault="009E4814" w:rsidP="009E4814"/>
    <w:p w14:paraId="6A5CB215" w14:textId="77777777" w:rsidR="009E4814" w:rsidRDefault="009E4814" w:rsidP="009E4814"/>
    <w:p w14:paraId="0128C99E" w14:textId="77777777" w:rsidR="00FE3E9C" w:rsidRDefault="00FE3E9C" w:rsidP="009E4814"/>
    <w:p w14:paraId="76EE2F80" w14:textId="77777777" w:rsidR="00FE3E9C" w:rsidRDefault="00FE3E9C" w:rsidP="009E4814"/>
    <w:p w14:paraId="2AA139FC" w14:textId="77777777" w:rsidR="00FE3E9C" w:rsidRDefault="00FE3E9C" w:rsidP="009E4814"/>
    <w:p w14:paraId="063A5563" w14:textId="77777777" w:rsidR="009E4814" w:rsidRDefault="009E4814" w:rsidP="009E4814">
      <w:r w:rsidRPr="000D51AE">
        <w:rPr>
          <w:b/>
          <w:u w:val="single"/>
        </w:rPr>
        <w:t>Acknowledge</w:t>
      </w:r>
      <w:r>
        <w:t xml:space="preserve"> in Hebrew: yada’ (Strong’s 3045)</w:t>
      </w:r>
    </w:p>
    <w:p w14:paraId="06EA6C78" w14:textId="77777777" w:rsidR="009E4814" w:rsidRDefault="009E4814" w:rsidP="009E4814">
      <w:pPr>
        <w:pStyle w:val="ListParagraph"/>
        <w:numPr>
          <w:ilvl w:val="0"/>
          <w:numId w:val="1"/>
        </w:numPr>
      </w:pPr>
      <w:r>
        <w:t>Perceive</w:t>
      </w:r>
    </w:p>
    <w:p w14:paraId="6A4FDF3B" w14:textId="77777777" w:rsidR="009E4814" w:rsidRDefault="009E4814" w:rsidP="009E4814">
      <w:pPr>
        <w:pStyle w:val="ListParagraph"/>
        <w:numPr>
          <w:ilvl w:val="0"/>
          <w:numId w:val="1"/>
        </w:numPr>
      </w:pPr>
      <w:r>
        <w:t>Know</w:t>
      </w:r>
    </w:p>
    <w:p w14:paraId="1533B7A6" w14:textId="77777777" w:rsidR="009E4814" w:rsidRDefault="009E4814" w:rsidP="009E4814">
      <w:pPr>
        <w:pStyle w:val="ListParagraph"/>
        <w:numPr>
          <w:ilvl w:val="0"/>
          <w:numId w:val="1"/>
        </w:numPr>
      </w:pPr>
      <w:r>
        <w:t>Acquaint</w:t>
      </w:r>
    </w:p>
    <w:p w14:paraId="7C190D47" w14:textId="77777777" w:rsidR="009E4814" w:rsidRDefault="009E4814" w:rsidP="009E4814">
      <w:pPr>
        <w:pStyle w:val="ListParagraph"/>
        <w:numPr>
          <w:ilvl w:val="0"/>
          <w:numId w:val="1"/>
        </w:numPr>
      </w:pPr>
      <w:r>
        <w:t>Declare</w:t>
      </w:r>
    </w:p>
    <w:p w14:paraId="681F62EA" w14:textId="77777777" w:rsidR="009E4814" w:rsidRDefault="009E4814" w:rsidP="009E4814">
      <w:pPr>
        <w:pStyle w:val="ListParagraph"/>
        <w:numPr>
          <w:ilvl w:val="0"/>
          <w:numId w:val="1"/>
        </w:numPr>
      </w:pPr>
      <w:r>
        <w:t>Teach</w:t>
      </w:r>
    </w:p>
    <w:p w14:paraId="17228A3F" w14:textId="77777777" w:rsidR="009E4814" w:rsidRDefault="009E4814" w:rsidP="009E4814">
      <w:pPr>
        <w:pStyle w:val="ListParagraph"/>
        <w:numPr>
          <w:ilvl w:val="0"/>
          <w:numId w:val="1"/>
        </w:numPr>
      </w:pPr>
      <w:r>
        <w:t>Perceive and see; find out, discern</w:t>
      </w:r>
    </w:p>
    <w:p w14:paraId="231E4132" w14:textId="77777777" w:rsidR="009E4814" w:rsidRDefault="009E4814" w:rsidP="009E4814">
      <w:pPr>
        <w:pStyle w:val="ListParagraph"/>
        <w:numPr>
          <w:ilvl w:val="0"/>
          <w:numId w:val="1"/>
        </w:numPr>
      </w:pPr>
      <w:r>
        <w:t>Discern</w:t>
      </w:r>
    </w:p>
    <w:p w14:paraId="5AB7D861" w14:textId="77777777" w:rsidR="009E4814" w:rsidRDefault="00501640" w:rsidP="009E4814">
      <w:pPr>
        <w:pStyle w:val="ListParagraph"/>
        <w:numPr>
          <w:ilvl w:val="0"/>
          <w:numId w:val="1"/>
        </w:numPr>
      </w:pPr>
      <w:r>
        <w:t>D</w:t>
      </w:r>
      <w:r w:rsidR="009E4814">
        <w:t>iscriminate</w:t>
      </w:r>
      <w:r>
        <w:t>, distinguish</w:t>
      </w:r>
    </w:p>
    <w:p w14:paraId="59F4EA70" w14:textId="77777777" w:rsidR="00501640" w:rsidRDefault="00501640" w:rsidP="009E4814">
      <w:pPr>
        <w:pStyle w:val="ListParagraph"/>
        <w:numPr>
          <w:ilvl w:val="0"/>
          <w:numId w:val="1"/>
        </w:numPr>
      </w:pPr>
      <w:r>
        <w:t>Recognize, admit</w:t>
      </w:r>
    </w:p>
    <w:p w14:paraId="23D2A56D" w14:textId="77777777" w:rsidR="00501640" w:rsidRDefault="00501640" w:rsidP="009E4814">
      <w:pPr>
        <w:pStyle w:val="ListParagraph"/>
        <w:numPr>
          <w:ilvl w:val="0"/>
          <w:numId w:val="1"/>
        </w:numPr>
      </w:pPr>
      <w:r>
        <w:t>Be made known</w:t>
      </w:r>
    </w:p>
    <w:p w14:paraId="63211F29" w14:textId="77777777" w:rsidR="00501640" w:rsidRDefault="00501640" w:rsidP="009E4814">
      <w:pPr>
        <w:pStyle w:val="ListParagraph"/>
        <w:numPr>
          <w:ilvl w:val="0"/>
          <w:numId w:val="1"/>
        </w:numPr>
      </w:pPr>
      <w:r>
        <w:t>Be instructed</w:t>
      </w:r>
    </w:p>
    <w:p w14:paraId="08B55C90" w14:textId="77777777" w:rsidR="00501640" w:rsidRDefault="00501640" w:rsidP="009E4814">
      <w:pPr>
        <w:pStyle w:val="ListParagraph"/>
        <w:numPr>
          <w:ilvl w:val="0"/>
          <w:numId w:val="1"/>
        </w:numPr>
      </w:pPr>
      <w:r>
        <w:t>Cause to know</w:t>
      </w:r>
    </w:p>
    <w:p w14:paraId="448D3CEE" w14:textId="77777777" w:rsidR="00F77D6A" w:rsidRDefault="00F77D6A" w:rsidP="00F77D6A"/>
    <w:p w14:paraId="7A65C99B" w14:textId="77777777" w:rsidR="00F77D6A" w:rsidRDefault="00F77D6A" w:rsidP="00F77D6A"/>
    <w:p w14:paraId="2DF43E04" w14:textId="77777777" w:rsidR="00F77D6A" w:rsidRDefault="00F77D6A" w:rsidP="00F77D6A"/>
    <w:p w14:paraId="0DFBD8ED" w14:textId="77777777" w:rsidR="00F77D6A" w:rsidRDefault="00F77D6A" w:rsidP="00F77D6A"/>
    <w:p w14:paraId="11BDBBCA" w14:textId="77777777" w:rsidR="00F77D6A" w:rsidRDefault="00F77D6A" w:rsidP="00F77D6A"/>
    <w:p w14:paraId="36D9F6FF" w14:textId="77777777" w:rsidR="00F77D6A" w:rsidRDefault="00F77D6A" w:rsidP="00F77D6A"/>
    <w:p w14:paraId="62E55A78" w14:textId="77777777" w:rsidR="00F77D6A" w:rsidRDefault="00F77D6A" w:rsidP="00F77D6A"/>
    <w:p w14:paraId="13CC9286" w14:textId="77777777" w:rsidR="00F77D6A" w:rsidRDefault="00F77D6A" w:rsidP="00F77D6A"/>
    <w:p w14:paraId="2A1DEBDC" w14:textId="77777777" w:rsidR="00F77D6A" w:rsidRDefault="00F77D6A" w:rsidP="00F77D6A"/>
    <w:p w14:paraId="58EE0DD8" w14:textId="77777777" w:rsidR="00F77D6A" w:rsidRDefault="00F77D6A" w:rsidP="00F77D6A"/>
    <w:p w14:paraId="1E9591D8" w14:textId="77777777" w:rsidR="00F77D6A" w:rsidRPr="00F77D6A" w:rsidRDefault="00F77D6A" w:rsidP="00F77D6A">
      <w:pPr>
        <w:rPr>
          <w:color w:val="FF0000"/>
        </w:rPr>
      </w:pPr>
      <w:proofErr w:type="spellStart"/>
      <w:r w:rsidRPr="00F77D6A">
        <w:rPr>
          <w:color w:val="FF0000"/>
        </w:rPr>
        <w:t>Prov</w:t>
      </w:r>
      <w:proofErr w:type="spellEnd"/>
      <w:r w:rsidRPr="00F77D6A">
        <w:rPr>
          <w:color w:val="FF0000"/>
        </w:rPr>
        <w:t xml:space="preserve"> 3: 5,6</w:t>
      </w:r>
    </w:p>
    <w:p w14:paraId="6B08DFC3" w14:textId="77777777" w:rsidR="00F77D6A" w:rsidRPr="00F77D6A" w:rsidRDefault="00F77D6A" w:rsidP="00F77D6A">
      <w:pPr>
        <w:rPr>
          <w:color w:val="FF0000"/>
        </w:rPr>
      </w:pPr>
      <w:r w:rsidRPr="00F77D6A">
        <w:rPr>
          <w:color w:val="FF0000"/>
        </w:rPr>
        <w:t>Trust in the Lord. . .</w:t>
      </w:r>
    </w:p>
    <w:p w14:paraId="4E7D22F1" w14:textId="77777777" w:rsidR="00F77D6A" w:rsidRPr="00B279CF" w:rsidRDefault="00F77D6A" w:rsidP="00F77D6A">
      <w:pPr>
        <w:rPr>
          <w:color w:val="000000" w:themeColor="text1"/>
        </w:rPr>
      </w:pPr>
    </w:p>
    <w:p w14:paraId="31B24EFE" w14:textId="77777777" w:rsidR="00F77D6A" w:rsidRPr="00B279CF" w:rsidRDefault="00F77D6A" w:rsidP="00F77D6A">
      <w:pPr>
        <w:rPr>
          <w:rFonts w:eastAsia="Times New Roman" w:cs="Times New Roman"/>
          <w:color w:val="000000" w:themeColor="text1"/>
          <w:shd w:val="clear" w:color="auto" w:fill="FDFEFF"/>
        </w:rPr>
      </w:pPr>
      <w:proofErr w:type="gramStart"/>
      <w:r w:rsidRPr="00B279CF">
        <w:rPr>
          <w:rFonts w:eastAsia="Times New Roman" w:cs="Times New Roman"/>
          <w:color w:val="000000" w:themeColor="text1"/>
          <w:shd w:val="clear" w:color="auto" w:fill="FDFEFF"/>
        </w:rPr>
        <w:t>“ </w:t>
      </w:r>
      <w:r w:rsidRPr="00171364">
        <w:rPr>
          <w:rFonts w:eastAsia="Times New Roman" w:cs="Times New Roman"/>
          <w:color w:val="000000" w:themeColor="text1"/>
          <w:shd w:val="clear" w:color="auto" w:fill="FDFEFF"/>
        </w:rPr>
        <w:t>Trust</w:t>
      </w:r>
      <w:proofErr w:type="gramEnd"/>
      <w:r w:rsidRPr="00171364">
        <w:rPr>
          <w:rFonts w:eastAsia="Times New Roman" w:cs="Times New Roman"/>
          <w:color w:val="000000" w:themeColor="text1"/>
          <w:shd w:val="clear" w:color="auto" w:fill="FDFEFF"/>
        </w:rPr>
        <w:t xml:space="preserve"> … heart—This is the center and marrow of true wisdom</w:t>
      </w:r>
      <w:r w:rsidRPr="00B279CF">
        <w:rPr>
          <w:rFonts w:eastAsia="Times New Roman" w:cs="Times New Roman"/>
          <w:color w:val="000000" w:themeColor="text1"/>
          <w:shd w:val="clear" w:color="auto" w:fill="FDFEFF"/>
        </w:rPr>
        <w:t>”  (</w:t>
      </w:r>
      <w:hyperlink r:id="rId5" w:history="1">
        <w:r w:rsidRPr="00B279CF">
          <w:rPr>
            <w:rStyle w:val="Hyperlink"/>
            <w:rFonts w:eastAsia="Times New Roman" w:cs="Times New Roman"/>
            <w:color w:val="000000" w:themeColor="text1"/>
            <w:u w:val="none"/>
            <w:shd w:val="clear" w:color="auto" w:fill="FDFEFF"/>
          </w:rPr>
          <w:t>www.biblehub.com</w:t>
        </w:r>
      </w:hyperlink>
      <w:r w:rsidRPr="00B279CF">
        <w:rPr>
          <w:rFonts w:eastAsia="Times New Roman" w:cs="Times New Roman"/>
          <w:color w:val="000000" w:themeColor="text1"/>
          <w:shd w:val="clear" w:color="auto" w:fill="FDFEFF"/>
        </w:rPr>
        <w:t>, Jamieson-</w:t>
      </w:r>
      <w:proofErr w:type="spellStart"/>
      <w:r w:rsidRPr="00B279CF">
        <w:rPr>
          <w:rFonts w:eastAsia="Times New Roman" w:cs="Times New Roman"/>
          <w:color w:val="000000" w:themeColor="text1"/>
          <w:shd w:val="clear" w:color="auto" w:fill="FDFEFF"/>
        </w:rPr>
        <w:t>Fausset</w:t>
      </w:r>
      <w:proofErr w:type="spellEnd"/>
      <w:r w:rsidRPr="00B279CF">
        <w:rPr>
          <w:rFonts w:eastAsia="Times New Roman" w:cs="Times New Roman"/>
          <w:color w:val="000000" w:themeColor="text1"/>
          <w:shd w:val="clear" w:color="auto" w:fill="FDFEFF"/>
        </w:rPr>
        <w:t>-Brown).</w:t>
      </w:r>
    </w:p>
    <w:p w14:paraId="208D3F24" w14:textId="77777777" w:rsidR="00F77D6A" w:rsidRPr="00B279CF" w:rsidRDefault="00F77D6A" w:rsidP="00F77D6A">
      <w:pPr>
        <w:rPr>
          <w:rFonts w:eastAsia="Times New Roman" w:cs="Times New Roman"/>
          <w:color w:val="000000" w:themeColor="text1"/>
          <w:shd w:val="clear" w:color="auto" w:fill="FDFEFF"/>
        </w:rPr>
      </w:pPr>
    </w:p>
    <w:p w14:paraId="65BC0BE3" w14:textId="77777777" w:rsidR="00F77D6A" w:rsidRPr="00B279CF" w:rsidRDefault="00F77D6A" w:rsidP="00F77D6A">
      <w:pPr>
        <w:rPr>
          <w:rFonts w:eastAsia="Times New Roman" w:cs="Times New Roman"/>
          <w:b/>
          <w:bCs/>
          <w:color w:val="000000" w:themeColor="text1"/>
          <w:shd w:val="clear" w:color="auto" w:fill="FDFEFF"/>
        </w:rPr>
      </w:pPr>
    </w:p>
    <w:p w14:paraId="7A20EC10" w14:textId="77777777" w:rsidR="00F77D6A" w:rsidRPr="00B279CF" w:rsidRDefault="00F77D6A" w:rsidP="00F77D6A">
      <w:pPr>
        <w:rPr>
          <w:rFonts w:eastAsia="Times New Roman" w:cs="Times New Roman"/>
          <w:b/>
          <w:bCs/>
          <w:color w:val="000000" w:themeColor="text1"/>
          <w:shd w:val="clear" w:color="auto" w:fill="FDFEFF"/>
        </w:rPr>
      </w:pPr>
    </w:p>
    <w:p w14:paraId="5C0D1187" w14:textId="77777777" w:rsidR="00F77D6A" w:rsidRPr="00171364" w:rsidRDefault="00F77D6A" w:rsidP="00F77D6A">
      <w:pPr>
        <w:rPr>
          <w:rFonts w:eastAsia="Times New Roman" w:cs="Times New Roman"/>
          <w:color w:val="000000" w:themeColor="text1"/>
        </w:rPr>
      </w:pPr>
      <w:r w:rsidRPr="00B279CF">
        <w:rPr>
          <w:rFonts w:eastAsia="Times New Roman" w:cs="Times New Roman"/>
          <w:b/>
          <w:bCs/>
          <w:color w:val="000000" w:themeColor="text1"/>
          <w:shd w:val="clear" w:color="auto" w:fill="FDFEFF"/>
        </w:rPr>
        <w:t>“Trust in the Lord; </w:t>
      </w:r>
      <w:r w:rsidRPr="00171364">
        <w:rPr>
          <w:rFonts w:eastAsia="Times New Roman" w:cs="Times New Roman"/>
          <w:color w:val="000000" w:themeColor="text1"/>
          <w:shd w:val="clear" w:color="auto" w:fill="FDFEFF"/>
        </w:rPr>
        <w:t>wholly and securely rely upon God’s promises and providence for help and relief in all thine affairs and dangers.</w:t>
      </w:r>
      <w:r w:rsidRPr="00B279CF">
        <w:rPr>
          <w:rFonts w:eastAsia="Times New Roman" w:cs="Times New Roman"/>
          <w:color w:val="000000" w:themeColor="text1"/>
          <w:shd w:val="clear" w:color="auto" w:fill="FDFEFF"/>
        </w:rPr>
        <w:t> </w:t>
      </w:r>
      <w:r w:rsidRPr="00171364">
        <w:rPr>
          <w:rFonts w:eastAsia="Times New Roman" w:cs="Times New Roman"/>
          <w:color w:val="000000" w:themeColor="text1"/>
          <w:shd w:val="clear" w:color="auto" w:fill="FDFEFF"/>
        </w:rPr>
        <w:br/>
      </w:r>
      <w:r w:rsidRPr="00171364">
        <w:rPr>
          <w:rFonts w:eastAsia="Times New Roman" w:cs="Times New Roman"/>
          <w:color w:val="000000" w:themeColor="text1"/>
          <w:shd w:val="clear" w:color="auto" w:fill="FDFEFF"/>
        </w:rPr>
        <w:br/>
      </w:r>
      <w:r w:rsidRPr="00B279CF">
        <w:rPr>
          <w:rFonts w:eastAsia="Times New Roman" w:cs="Times New Roman"/>
          <w:b/>
          <w:bCs/>
          <w:color w:val="000000" w:themeColor="text1"/>
          <w:shd w:val="clear" w:color="auto" w:fill="FDFEFF"/>
        </w:rPr>
        <w:t>“Lean not unto thine own understanding; </w:t>
      </w:r>
      <w:r w:rsidRPr="00171364">
        <w:rPr>
          <w:rFonts w:eastAsia="Times New Roman" w:cs="Times New Roman"/>
          <w:color w:val="000000" w:themeColor="text1"/>
          <w:shd w:val="clear" w:color="auto" w:fill="FDFEFF"/>
        </w:rPr>
        <w:t>think not to accomplish thy designs by the strength of thine own wit without God’s blessing</w:t>
      </w:r>
      <w:r w:rsidRPr="00B279CF">
        <w:rPr>
          <w:rFonts w:eastAsia="Times New Roman" w:cs="Times New Roman"/>
          <w:color w:val="000000" w:themeColor="text1"/>
          <w:shd w:val="clear" w:color="auto" w:fill="FDFEFF"/>
        </w:rPr>
        <w:t>” (</w:t>
      </w:r>
      <w:hyperlink r:id="rId6" w:history="1">
        <w:r w:rsidRPr="00B279CF">
          <w:rPr>
            <w:rStyle w:val="Hyperlink"/>
            <w:rFonts w:eastAsia="Times New Roman" w:cs="Times New Roman"/>
            <w:color w:val="000000" w:themeColor="text1"/>
            <w:u w:val="none"/>
            <w:shd w:val="clear" w:color="auto" w:fill="FDFEFF"/>
          </w:rPr>
          <w:t>www.biblehub.com</w:t>
        </w:r>
      </w:hyperlink>
      <w:r w:rsidRPr="00B279CF">
        <w:rPr>
          <w:rFonts w:eastAsia="Times New Roman" w:cs="Times New Roman"/>
          <w:color w:val="000000" w:themeColor="text1"/>
          <w:shd w:val="clear" w:color="auto" w:fill="FDFEFF"/>
        </w:rPr>
        <w:t>, Matthew Poole’s Commentary).</w:t>
      </w:r>
    </w:p>
    <w:p w14:paraId="7C6661A6" w14:textId="77777777" w:rsidR="00F77D6A" w:rsidRPr="00171364" w:rsidRDefault="00F77D6A" w:rsidP="00F77D6A">
      <w:pPr>
        <w:rPr>
          <w:rFonts w:eastAsia="Times New Roman" w:cs="Times New Roman"/>
          <w:color w:val="000000" w:themeColor="text1"/>
        </w:rPr>
      </w:pPr>
    </w:p>
    <w:p w14:paraId="7EBD15F0" w14:textId="77777777" w:rsidR="00F77D6A" w:rsidRPr="00B279CF" w:rsidRDefault="00F77D6A" w:rsidP="00F77D6A">
      <w:pPr>
        <w:rPr>
          <w:rFonts w:eastAsia="Times New Roman"/>
          <w:color w:val="000000" w:themeColor="text1"/>
        </w:rPr>
      </w:pPr>
      <w:r w:rsidRPr="00B279CF">
        <w:rPr>
          <w:color w:val="000000" w:themeColor="text1"/>
        </w:rPr>
        <w:t>“</w:t>
      </w:r>
      <w:r w:rsidRPr="00B279CF">
        <w:rPr>
          <w:rStyle w:val="ital"/>
          <w:rFonts w:ascii="Trebuchet" w:eastAsia="Times New Roman" w:hAnsi="Trebuchet"/>
          <w:i/>
          <w:iCs/>
          <w:color w:val="000000" w:themeColor="text1"/>
          <w:shd w:val="clear" w:color="auto" w:fill="FDFEFF"/>
        </w:rPr>
        <w:t>Trust in the Lord with all thy heart</w:t>
      </w:r>
      <w:r w:rsidRPr="00B279CF">
        <w:rPr>
          <w:rStyle w:val="apple-converted-space"/>
          <w:rFonts w:ascii="Trebuchet" w:eastAsia="Times New Roman" w:hAnsi="Trebuchet"/>
          <w:i/>
          <w:iCs/>
          <w:color w:val="000000" w:themeColor="text1"/>
          <w:shd w:val="clear" w:color="auto" w:fill="FDFEFF"/>
        </w:rPr>
        <w:t> </w:t>
      </w:r>
      <w:r w:rsidRPr="00B279CF">
        <w:rPr>
          <w:rFonts w:ascii="Trebuchet" w:eastAsia="Times New Roman" w:hAnsi="Trebuchet"/>
          <w:color w:val="000000" w:themeColor="text1"/>
          <w:shd w:val="clear" w:color="auto" w:fill="FDFEFF"/>
        </w:rPr>
        <w:t>— Wholly and securely rely upon God’s wisdom, power, and goodness, and upon his providence and promises, for direction and help in all thine affairs and dangers.</w:t>
      </w:r>
      <w:r w:rsidRPr="00B279CF">
        <w:rPr>
          <w:rStyle w:val="apple-converted-space"/>
          <w:rFonts w:ascii="Trebuchet" w:eastAsia="Times New Roman" w:hAnsi="Trebuchet"/>
          <w:color w:val="000000" w:themeColor="text1"/>
          <w:shd w:val="clear" w:color="auto" w:fill="FDFEFF"/>
        </w:rPr>
        <w:t> </w:t>
      </w:r>
      <w:r w:rsidRPr="00B279CF">
        <w:rPr>
          <w:rStyle w:val="ital"/>
          <w:rFonts w:ascii="Trebuchet" w:eastAsia="Times New Roman" w:hAnsi="Trebuchet"/>
          <w:i/>
          <w:iCs/>
          <w:color w:val="000000" w:themeColor="text1"/>
          <w:shd w:val="clear" w:color="auto" w:fill="FDFEFF"/>
        </w:rPr>
        <w:t>Lean not to thine own understanding —</w:t>
      </w:r>
      <w:r w:rsidRPr="00B279CF">
        <w:rPr>
          <w:rStyle w:val="apple-converted-space"/>
          <w:rFonts w:ascii="Trebuchet" w:eastAsia="Times New Roman" w:hAnsi="Trebuchet"/>
          <w:i/>
          <w:iCs/>
          <w:color w:val="000000" w:themeColor="text1"/>
          <w:shd w:val="clear" w:color="auto" w:fill="FDFEFF"/>
        </w:rPr>
        <w:t> </w:t>
      </w:r>
      <w:r w:rsidRPr="00B279CF">
        <w:rPr>
          <w:rFonts w:ascii="Trebuchet" w:eastAsia="Times New Roman" w:hAnsi="Trebuchet"/>
          <w:color w:val="000000" w:themeColor="text1"/>
          <w:shd w:val="clear" w:color="auto" w:fill="FDFEFF"/>
        </w:rPr>
        <w:t>Think not to</w:t>
      </w:r>
      <w:r w:rsidRPr="00B279CF">
        <w:rPr>
          <w:rStyle w:val="apple-converted-space"/>
          <w:rFonts w:ascii="Trebuchet" w:eastAsia="Times New Roman" w:hAnsi="Trebuchet"/>
          <w:color w:val="000000" w:themeColor="text1"/>
          <w:shd w:val="clear" w:color="auto" w:fill="FDFEFF"/>
        </w:rPr>
        <w:t> </w:t>
      </w:r>
      <w:hyperlink r:id="rId7" w:history="1">
        <w:r w:rsidRPr="00B279CF">
          <w:rPr>
            <w:rStyle w:val="Hyperlink"/>
            <w:rFonts w:eastAsia="Times New Roman"/>
            <w:color w:val="000000" w:themeColor="text1"/>
            <w:u w:val="none"/>
          </w:rPr>
          <w:t>accomplish</w:t>
        </w:r>
      </w:hyperlink>
      <w:r w:rsidRPr="00B279CF">
        <w:rPr>
          <w:rStyle w:val="apple-converted-space"/>
          <w:rFonts w:ascii="Trebuchet" w:eastAsia="Times New Roman" w:hAnsi="Trebuchet"/>
          <w:color w:val="000000" w:themeColor="text1"/>
          <w:shd w:val="clear" w:color="auto" w:fill="FDFEFF"/>
        </w:rPr>
        <w:t> </w:t>
      </w:r>
      <w:r w:rsidRPr="00B279CF">
        <w:rPr>
          <w:rFonts w:ascii="Trebuchet" w:eastAsia="Times New Roman" w:hAnsi="Trebuchet"/>
          <w:color w:val="000000" w:themeColor="text1"/>
          <w:shd w:val="clear" w:color="auto" w:fill="FDFEFF"/>
        </w:rPr>
        <w:t>thy designs by the strength of thine own understanding, without God’s blessing. Under this one kind of carnal confidence he understands all other kinds, such as confidence in bodily strength, wealth, or friends.</w:t>
      </w:r>
      <w:r w:rsidRPr="00B279CF">
        <w:rPr>
          <w:rStyle w:val="apple-converted-space"/>
          <w:rFonts w:ascii="Trebuchet" w:eastAsia="Times New Roman" w:hAnsi="Trebuchet"/>
          <w:color w:val="000000" w:themeColor="text1"/>
          <w:shd w:val="clear" w:color="auto" w:fill="FDFEFF"/>
        </w:rPr>
        <w:t> </w:t>
      </w:r>
      <w:r w:rsidRPr="00B279CF">
        <w:rPr>
          <w:rStyle w:val="ital"/>
          <w:rFonts w:ascii="Trebuchet" w:eastAsia="Times New Roman" w:hAnsi="Trebuchet"/>
          <w:i/>
          <w:iCs/>
          <w:color w:val="000000" w:themeColor="text1"/>
          <w:shd w:val="clear" w:color="auto" w:fill="FDFEFF"/>
        </w:rPr>
        <w:t>In all thy ways —</w:t>
      </w:r>
      <w:r w:rsidRPr="00B279CF">
        <w:rPr>
          <w:rStyle w:val="apple-converted-space"/>
          <w:rFonts w:ascii="Trebuchet" w:eastAsia="Times New Roman" w:hAnsi="Trebuchet"/>
          <w:i/>
          <w:iCs/>
          <w:color w:val="000000" w:themeColor="text1"/>
          <w:shd w:val="clear" w:color="auto" w:fill="FDFEFF"/>
        </w:rPr>
        <w:t> </w:t>
      </w:r>
      <w:r w:rsidRPr="00B279CF">
        <w:rPr>
          <w:rFonts w:ascii="Trebuchet" w:eastAsia="Times New Roman" w:hAnsi="Trebuchet"/>
          <w:color w:val="000000" w:themeColor="text1"/>
          <w:shd w:val="clear" w:color="auto" w:fill="FDFEFF"/>
        </w:rPr>
        <w:t>Designs and undertakings, both respecting the things of this life and those of the life to come;</w:t>
      </w:r>
      <w:r w:rsidRPr="00B279CF">
        <w:rPr>
          <w:rStyle w:val="apple-converted-space"/>
          <w:rFonts w:ascii="Trebuchet" w:eastAsia="Times New Roman" w:hAnsi="Trebuchet"/>
          <w:color w:val="000000" w:themeColor="text1"/>
          <w:shd w:val="clear" w:color="auto" w:fill="FDFEFF"/>
        </w:rPr>
        <w:t> </w:t>
      </w:r>
      <w:r>
        <w:rPr>
          <w:rStyle w:val="ital"/>
          <w:rFonts w:ascii="Trebuchet" w:eastAsia="Times New Roman" w:hAnsi="Trebuchet"/>
          <w:i/>
          <w:iCs/>
          <w:color w:val="000000" w:themeColor="text1"/>
          <w:shd w:val="clear" w:color="auto" w:fill="FDFEFF"/>
        </w:rPr>
        <w:t>acknowledge him,</w:t>
      </w:r>
      <w:r w:rsidRPr="00B279CF">
        <w:rPr>
          <w:rStyle w:val="apple-converted-space"/>
          <w:rFonts w:ascii="Trebuchet" w:eastAsia="Times New Roman" w:hAnsi="Trebuchet"/>
          <w:color w:val="000000" w:themeColor="text1"/>
          <w:shd w:val="clear" w:color="auto" w:fill="FDFEFF"/>
        </w:rPr>
        <w:t> </w:t>
      </w:r>
      <w:r w:rsidRPr="00B279CF">
        <w:rPr>
          <w:rStyle w:val="ital"/>
          <w:rFonts w:ascii="Trebuchet" w:eastAsia="Times New Roman" w:hAnsi="Trebuchet"/>
          <w:i/>
          <w:iCs/>
          <w:color w:val="000000" w:themeColor="text1"/>
          <w:shd w:val="clear" w:color="auto" w:fill="FDFEFF"/>
        </w:rPr>
        <w:t>know him,</w:t>
      </w:r>
      <w:r w:rsidRPr="00B279CF">
        <w:rPr>
          <w:rStyle w:val="apple-converted-space"/>
          <w:rFonts w:ascii="Trebuchet" w:eastAsia="Times New Roman" w:hAnsi="Trebuchet"/>
          <w:i/>
          <w:iCs/>
          <w:color w:val="000000" w:themeColor="text1"/>
          <w:shd w:val="clear" w:color="auto" w:fill="FDFEFF"/>
        </w:rPr>
        <w:t> </w:t>
      </w:r>
      <w:r w:rsidRPr="00B279CF">
        <w:rPr>
          <w:rFonts w:ascii="Trebuchet" w:eastAsia="Times New Roman" w:hAnsi="Trebuchet"/>
          <w:color w:val="000000" w:themeColor="text1"/>
          <w:shd w:val="clear" w:color="auto" w:fill="FDFEFF"/>
        </w:rPr>
        <w:t>namely, practically; or</w:t>
      </w:r>
      <w:r w:rsidRPr="00B279CF">
        <w:rPr>
          <w:rStyle w:val="apple-converted-space"/>
          <w:rFonts w:ascii="Trebuchet" w:eastAsia="Times New Roman" w:hAnsi="Trebuchet"/>
          <w:color w:val="000000" w:themeColor="text1"/>
          <w:shd w:val="clear" w:color="auto" w:fill="FDFEFF"/>
        </w:rPr>
        <w:t> </w:t>
      </w:r>
      <w:r w:rsidRPr="00B279CF">
        <w:rPr>
          <w:rStyle w:val="ital"/>
          <w:rFonts w:ascii="Trebuchet" w:eastAsia="Times New Roman" w:hAnsi="Trebuchet"/>
          <w:i/>
          <w:iCs/>
          <w:color w:val="000000" w:themeColor="text1"/>
          <w:shd w:val="clear" w:color="auto" w:fill="FDFEFF"/>
        </w:rPr>
        <w:t>own him,</w:t>
      </w:r>
      <w:r w:rsidRPr="00B279CF">
        <w:rPr>
          <w:rStyle w:val="apple-converted-space"/>
          <w:rFonts w:ascii="Trebuchet" w:eastAsia="Times New Roman" w:hAnsi="Trebuchet"/>
          <w:i/>
          <w:iCs/>
          <w:color w:val="000000" w:themeColor="text1"/>
          <w:shd w:val="clear" w:color="auto" w:fill="FDFEFF"/>
        </w:rPr>
        <w:t> </w:t>
      </w:r>
      <w:r w:rsidRPr="00B279CF">
        <w:rPr>
          <w:rFonts w:ascii="Trebuchet" w:eastAsia="Times New Roman" w:hAnsi="Trebuchet"/>
          <w:color w:val="000000" w:themeColor="text1"/>
          <w:shd w:val="clear" w:color="auto" w:fill="FDFEFF"/>
        </w:rPr>
        <w:t xml:space="preserve">his wisdom, by following his counsels; his power and goodness, by expecting success from him; his sovereignty, by managing all thy affairs in such a </w:t>
      </w:r>
      <w:proofErr w:type="gramStart"/>
      <w:r w:rsidRPr="00B279CF">
        <w:rPr>
          <w:rFonts w:ascii="Trebuchet" w:eastAsia="Times New Roman" w:hAnsi="Trebuchet"/>
          <w:color w:val="000000" w:themeColor="text1"/>
          <w:shd w:val="clear" w:color="auto" w:fill="FDFEFF"/>
        </w:rPr>
        <w:t>manner</w:t>
      </w:r>
      <w:proofErr w:type="gramEnd"/>
      <w:r w:rsidRPr="00B279CF">
        <w:rPr>
          <w:rFonts w:ascii="Trebuchet" w:eastAsia="Times New Roman" w:hAnsi="Trebuchet"/>
          <w:color w:val="000000" w:themeColor="text1"/>
          <w:shd w:val="clear" w:color="auto" w:fill="FDFEFF"/>
        </w:rPr>
        <w:t xml:space="preserve"> as to please and glorify him;</w:t>
      </w:r>
      <w:r w:rsidRPr="00B279CF">
        <w:rPr>
          <w:rStyle w:val="apple-converted-space"/>
          <w:rFonts w:ascii="Trebuchet" w:eastAsia="Times New Roman" w:hAnsi="Trebuchet"/>
          <w:color w:val="000000" w:themeColor="text1"/>
          <w:shd w:val="clear" w:color="auto" w:fill="FDFEFF"/>
        </w:rPr>
        <w:t> </w:t>
      </w:r>
      <w:r w:rsidRPr="00B279CF">
        <w:rPr>
          <w:rStyle w:val="ital"/>
          <w:rFonts w:ascii="Trebuchet" w:eastAsia="Times New Roman" w:hAnsi="Trebuchet"/>
          <w:i/>
          <w:iCs/>
          <w:color w:val="000000" w:themeColor="text1"/>
          <w:shd w:val="clear" w:color="auto" w:fill="FDFEFF"/>
        </w:rPr>
        <w:t>and he shall direct thy steps —</w:t>
      </w:r>
      <w:r w:rsidRPr="00B279CF">
        <w:rPr>
          <w:rStyle w:val="apple-converted-space"/>
          <w:rFonts w:ascii="Trebuchet" w:eastAsia="Times New Roman" w:hAnsi="Trebuchet"/>
          <w:i/>
          <w:iCs/>
          <w:color w:val="000000" w:themeColor="text1"/>
          <w:shd w:val="clear" w:color="auto" w:fill="FDFEFF"/>
        </w:rPr>
        <w:t> </w:t>
      </w:r>
      <w:r w:rsidRPr="00B279CF">
        <w:rPr>
          <w:rFonts w:ascii="Trebuchet" w:eastAsia="Times New Roman" w:hAnsi="Trebuchet"/>
          <w:color w:val="000000" w:themeColor="text1"/>
          <w:shd w:val="clear" w:color="auto" w:fill="FDFEFF"/>
        </w:rPr>
        <w:t>So that thy ways shall be safe and good” (</w:t>
      </w:r>
      <w:hyperlink r:id="rId8" w:history="1">
        <w:r w:rsidRPr="00B279CF">
          <w:rPr>
            <w:rStyle w:val="Hyperlink"/>
            <w:rFonts w:ascii="Trebuchet" w:eastAsia="Times New Roman" w:hAnsi="Trebuchet"/>
            <w:color w:val="000000" w:themeColor="text1"/>
            <w:u w:val="none"/>
            <w:shd w:val="clear" w:color="auto" w:fill="FDFEFF"/>
          </w:rPr>
          <w:t>www.biblehub.com</w:t>
        </w:r>
      </w:hyperlink>
      <w:r w:rsidRPr="00B279CF">
        <w:rPr>
          <w:rFonts w:ascii="Trebuchet" w:eastAsia="Times New Roman" w:hAnsi="Trebuchet"/>
          <w:color w:val="000000" w:themeColor="text1"/>
          <w:shd w:val="clear" w:color="auto" w:fill="FDFEFF"/>
        </w:rPr>
        <w:t xml:space="preserve">, Benson Commentary). </w:t>
      </w:r>
    </w:p>
    <w:p w14:paraId="36FF831C" w14:textId="77777777" w:rsidR="00F77D6A" w:rsidRPr="00B279CF" w:rsidRDefault="00F77D6A" w:rsidP="00F77D6A">
      <w:pPr>
        <w:rPr>
          <w:color w:val="000000" w:themeColor="text1"/>
        </w:rPr>
      </w:pPr>
    </w:p>
    <w:p w14:paraId="3F95F6C7" w14:textId="77777777" w:rsidR="00F77D6A" w:rsidRDefault="00F77D6A" w:rsidP="00F77D6A"/>
    <w:p w14:paraId="30ACACAC" w14:textId="77777777" w:rsidR="00501640" w:rsidRDefault="00501640" w:rsidP="00501640">
      <w:pPr>
        <w:pStyle w:val="ListParagraph"/>
      </w:pPr>
    </w:p>
    <w:sectPr w:rsidR="00501640" w:rsidSect="009E4814">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CD20CB"/>
    <w:multiLevelType w:val="hybridMultilevel"/>
    <w:tmpl w:val="C7D277F8"/>
    <w:lvl w:ilvl="0" w:tplc="AD0658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814"/>
    <w:rsid w:val="000D51AE"/>
    <w:rsid w:val="00280A0C"/>
    <w:rsid w:val="00501640"/>
    <w:rsid w:val="009E4814"/>
    <w:rsid w:val="00AC70E9"/>
    <w:rsid w:val="00CE09CC"/>
    <w:rsid w:val="00D86358"/>
    <w:rsid w:val="00F77D6A"/>
    <w:rsid w:val="00FE3E9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12A141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814"/>
    <w:pPr>
      <w:ind w:left="720"/>
      <w:contextualSpacing/>
    </w:pPr>
  </w:style>
  <w:style w:type="character" w:customStyle="1" w:styleId="apple-converted-space">
    <w:name w:val="apple-converted-space"/>
    <w:basedOn w:val="DefaultParagraphFont"/>
    <w:rsid w:val="00F77D6A"/>
  </w:style>
  <w:style w:type="character" w:styleId="Hyperlink">
    <w:name w:val="Hyperlink"/>
    <w:basedOn w:val="DefaultParagraphFont"/>
    <w:uiPriority w:val="99"/>
    <w:unhideWhenUsed/>
    <w:rsid w:val="00F77D6A"/>
    <w:rPr>
      <w:color w:val="0563C1" w:themeColor="hyperlink"/>
      <w:u w:val="single"/>
    </w:rPr>
  </w:style>
  <w:style w:type="character" w:customStyle="1" w:styleId="ital">
    <w:name w:val="ital"/>
    <w:basedOn w:val="DefaultParagraphFont"/>
    <w:rsid w:val="00F77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iblehub.com" TargetMode="External"/><Relationship Id="rId6" Type="http://schemas.openxmlformats.org/officeDocument/2006/relationships/hyperlink" Target="http://www.biblehub.com" TargetMode="External"/><Relationship Id="rId7" Type="http://schemas.openxmlformats.org/officeDocument/2006/relationships/hyperlink" Target="http://biblehub.com/commentaries/proverbs/3-5.htm" TargetMode="External"/><Relationship Id="rId8" Type="http://schemas.openxmlformats.org/officeDocument/2006/relationships/hyperlink" Target="http://www.biblehub.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382</Words>
  <Characters>2184</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3</cp:revision>
  <dcterms:created xsi:type="dcterms:W3CDTF">2017-02-11T12:37:00Z</dcterms:created>
  <dcterms:modified xsi:type="dcterms:W3CDTF">2017-02-11T13:06:00Z</dcterms:modified>
</cp:coreProperties>
</file>