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A4" w:rsidRPr="00A005FE" w:rsidRDefault="003D66A4">
      <w:pPr>
        <w:rPr>
          <w:rFonts w:asciiTheme="majorHAnsi" w:hAnsiTheme="majorHAnsi"/>
          <w:b/>
          <w:sz w:val="22"/>
          <w:szCs w:val="22"/>
        </w:rPr>
      </w:pPr>
      <w:r w:rsidRPr="00A005FE">
        <w:rPr>
          <w:rFonts w:asciiTheme="majorHAnsi" w:hAnsiTheme="majorHAnsi"/>
          <w:b/>
          <w:sz w:val="22"/>
          <w:szCs w:val="22"/>
        </w:rPr>
        <w:t xml:space="preserve">Published </w:t>
      </w:r>
      <w:r w:rsidR="009B00B6" w:rsidRPr="00A005FE">
        <w:rPr>
          <w:rFonts w:asciiTheme="majorHAnsi" w:hAnsiTheme="majorHAnsi"/>
          <w:b/>
          <w:sz w:val="22"/>
          <w:szCs w:val="22"/>
        </w:rPr>
        <w:t>essays</w:t>
      </w:r>
      <w:r w:rsidRPr="00A005FE">
        <w:rPr>
          <w:rFonts w:asciiTheme="majorHAnsi" w:hAnsiTheme="majorHAnsi"/>
          <w:b/>
          <w:sz w:val="22"/>
          <w:szCs w:val="22"/>
        </w:rPr>
        <w:t xml:space="preserve"> that were first presented at the ‘George Whitefield at 300’ conference</w:t>
      </w:r>
    </w:p>
    <w:p w:rsidR="003D66A4" w:rsidRPr="00A005FE" w:rsidRDefault="003D66A4">
      <w:pPr>
        <w:rPr>
          <w:rFonts w:asciiTheme="majorHAnsi" w:hAnsiTheme="majorHAnsi"/>
          <w:b/>
          <w:sz w:val="22"/>
          <w:szCs w:val="22"/>
        </w:rPr>
      </w:pPr>
    </w:p>
    <w:p w:rsidR="003D66A4" w:rsidRPr="00A005FE" w:rsidRDefault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In </w:t>
      </w:r>
      <w:r w:rsidR="00A005FE" w:rsidRPr="00A005FE">
        <w:rPr>
          <w:rFonts w:asciiTheme="majorHAnsi" w:hAnsiTheme="majorHAnsi"/>
          <w:sz w:val="22"/>
          <w:szCs w:val="22"/>
        </w:rPr>
        <w:t>William Gibson and Thomas W. Smith (</w:t>
      </w:r>
      <w:proofErr w:type="spellStart"/>
      <w:proofErr w:type="gramStart"/>
      <w:r w:rsidR="00A005FE" w:rsidRPr="00A005FE">
        <w:rPr>
          <w:rFonts w:asciiTheme="majorHAnsi" w:hAnsiTheme="majorHAnsi"/>
          <w:sz w:val="22"/>
          <w:szCs w:val="22"/>
        </w:rPr>
        <w:t>eds</w:t>
      </w:r>
      <w:proofErr w:type="spellEnd"/>
      <w:proofErr w:type="gramEnd"/>
      <w:r w:rsidR="00A005FE" w:rsidRPr="00A005FE">
        <w:rPr>
          <w:rFonts w:asciiTheme="majorHAnsi" w:hAnsiTheme="majorHAnsi"/>
          <w:sz w:val="22"/>
          <w:szCs w:val="22"/>
        </w:rPr>
        <w:t xml:space="preserve">), </w:t>
      </w:r>
      <w:r w:rsidR="00A005FE" w:rsidRPr="00A005FE">
        <w:rPr>
          <w:rFonts w:asciiTheme="majorHAnsi" w:hAnsiTheme="majorHAnsi"/>
          <w:i/>
          <w:sz w:val="22"/>
          <w:szCs w:val="22"/>
        </w:rPr>
        <w:t>George Whitefield Tercentenary Essays</w:t>
      </w:r>
      <w:r w:rsidR="00A005FE" w:rsidRPr="00A005FE">
        <w:rPr>
          <w:rFonts w:asciiTheme="majorHAnsi" w:hAnsiTheme="majorHAnsi"/>
          <w:sz w:val="22"/>
          <w:szCs w:val="22"/>
        </w:rPr>
        <w:t xml:space="preserve">, in </w:t>
      </w:r>
      <w:r w:rsidRPr="00A005FE">
        <w:rPr>
          <w:rFonts w:asciiTheme="majorHAnsi" w:hAnsiTheme="majorHAnsi"/>
          <w:i/>
          <w:sz w:val="22"/>
          <w:szCs w:val="22"/>
          <w:lang w:val="en-US"/>
        </w:rPr>
        <w:t>The Journal of Religious History, Literature and Culture</w:t>
      </w:r>
      <w:r w:rsidRPr="00A005FE">
        <w:rPr>
          <w:rFonts w:asciiTheme="majorHAnsi" w:hAnsiTheme="majorHAnsi"/>
          <w:sz w:val="22"/>
          <w:szCs w:val="22"/>
          <w:lang w:val="en-US"/>
        </w:rPr>
        <w:t>, 1:2 (Nov. 2015)</w:t>
      </w:r>
      <w:r w:rsidR="00A005FE" w:rsidRPr="00A005FE">
        <w:rPr>
          <w:rFonts w:asciiTheme="majorHAnsi" w:hAnsiTheme="majorHAnsi"/>
          <w:sz w:val="22"/>
          <w:szCs w:val="22"/>
          <w:lang w:val="en-US"/>
        </w:rPr>
        <w:t xml:space="preserve"> [available for purchase here: </w:t>
      </w:r>
      <w:hyperlink r:id="rId5" w:history="1">
        <w:r w:rsidR="00A005FE" w:rsidRPr="00A005FE">
          <w:rPr>
            <w:rStyle w:val="Hyperlink"/>
            <w:rFonts w:asciiTheme="majorHAnsi" w:hAnsiTheme="majorHAnsi"/>
            <w:sz w:val="22"/>
            <w:szCs w:val="22"/>
            <w:lang w:val="en-US"/>
          </w:rPr>
          <w:t>http://www.uwp.co.uk/editions/9781783168330</w:t>
        </w:r>
      </w:hyperlink>
      <w:r w:rsidR="00A005FE" w:rsidRPr="00A005FE">
        <w:rPr>
          <w:rFonts w:asciiTheme="majorHAnsi" w:hAnsiTheme="majorHAnsi"/>
          <w:sz w:val="22"/>
          <w:szCs w:val="22"/>
          <w:lang w:val="en-US"/>
        </w:rPr>
        <w:t>]</w:t>
      </w:r>
      <w:r w:rsidRPr="00A005FE">
        <w:rPr>
          <w:rFonts w:asciiTheme="majorHAnsi" w:hAnsiTheme="majorHAnsi"/>
          <w:sz w:val="22"/>
          <w:szCs w:val="22"/>
          <w:lang w:val="en-US"/>
        </w:rPr>
        <w:t>:</w:t>
      </w:r>
    </w:p>
    <w:p w:rsidR="003D66A4" w:rsidRPr="00A005FE" w:rsidRDefault="003D66A4">
      <w:pPr>
        <w:rPr>
          <w:rFonts w:asciiTheme="majorHAnsi" w:hAnsiTheme="majorHAnsi"/>
          <w:b/>
          <w:sz w:val="22"/>
          <w:szCs w:val="22"/>
        </w:rPr>
      </w:pPr>
    </w:p>
    <w:p w:rsidR="00A005FE" w:rsidRPr="00A005FE" w:rsidRDefault="00A005FE">
      <w:pPr>
        <w:rPr>
          <w:rFonts w:asciiTheme="majorHAnsi" w:hAnsiTheme="majorHAnsi"/>
          <w:sz w:val="22"/>
          <w:szCs w:val="22"/>
        </w:rPr>
      </w:pPr>
      <w:proofErr w:type="gramStart"/>
      <w:r w:rsidRPr="00A005FE">
        <w:rPr>
          <w:rFonts w:asciiTheme="majorHAnsi" w:hAnsiTheme="majorHAnsi"/>
          <w:sz w:val="22"/>
          <w:szCs w:val="22"/>
        </w:rPr>
        <w:t>Kenneth B. E. Roxburgh, ‘George Whitefield and the Secession Movement’s Reaction to the Cambuslang Revival’.</w:t>
      </w:r>
      <w:proofErr w:type="gramEnd"/>
      <w:r w:rsidRPr="00A005FE">
        <w:rPr>
          <w:rFonts w:asciiTheme="majorHAnsi" w:hAnsiTheme="majorHAnsi"/>
          <w:sz w:val="22"/>
          <w:szCs w:val="22"/>
        </w:rPr>
        <w:t xml:space="preserve"> </w:t>
      </w:r>
    </w:p>
    <w:p w:rsidR="00A005FE" w:rsidRPr="00A005FE" w:rsidRDefault="00A005FE">
      <w:pPr>
        <w:rPr>
          <w:rFonts w:asciiTheme="majorHAnsi" w:hAnsiTheme="majorHAnsi"/>
          <w:b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Simon Lewis, </w:t>
      </w:r>
      <w:r w:rsidR="00850551" w:rsidRPr="00A005FE">
        <w:rPr>
          <w:rFonts w:asciiTheme="majorHAnsi" w:hAnsiTheme="majorHAnsi"/>
          <w:sz w:val="22"/>
          <w:szCs w:val="22"/>
        </w:rPr>
        <w:t>‘A “Papal Emissary”</w:t>
      </w:r>
      <w:r w:rsidRPr="00A005FE">
        <w:rPr>
          <w:rFonts w:asciiTheme="majorHAnsi" w:hAnsiTheme="majorHAnsi"/>
          <w:sz w:val="22"/>
          <w:szCs w:val="22"/>
        </w:rPr>
        <w:t xml:space="preserve">? </w:t>
      </w:r>
      <w:proofErr w:type="gramStart"/>
      <w:r w:rsidRPr="00A005FE">
        <w:rPr>
          <w:rFonts w:asciiTheme="majorHAnsi" w:hAnsiTheme="majorHAnsi"/>
          <w:sz w:val="22"/>
          <w:szCs w:val="22"/>
        </w:rPr>
        <w:t>George Whitefield and Anti-Methodist Allegations of Popery, c.1738-c.1750</w:t>
      </w:r>
      <w:r w:rsidR="00850551" w:rsidRPr="00A005FE">
        <w:rPr>
          <w:rFonts w:asciiTheme="majorHAnsi" w:hAnsiTheme="majorHAnsi"/>
          <w:sz w:val="22"/>
          <w:szCs w:val="22"/>
        </w:rPr>
        <w:t>’.</w:t>
      </w:r>
      <w:proofErr w:type="gramEnd"/>
      <w:r w:rsidRPr="00A005FE">
        <w:rPr>
          <w:rFonts w:asciiTheme="majorHAnsi" w:hAnsiTheme="majorHAnsi"/>
          <w:sz w:val="22"/>
          <w:szCs w:val="22"/>
        </w:rPr>
        <w:t xml:space="preserve"> </w:t>
      </w: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proofErr w:type="gramStart"/>
      <w:r w:rsidRPr="00A005FE">
        <w:rPr>
          <w:rFonts w:asciiTheme="majorHAnsi" w:hAnsiTheme="majorHAnsi"/>
          <w:sz w:val="22"/>
          <w:szCs w:val="22"/>
        </w:rPr>
        <w:t xml:space="preserve">G. M. </w:t>
      </w:r>
      <w:proofErr w:type="spellStart"/>
      <w:r w:rsidRPr="00A005FE">
        <w:rPr>
          <w:rFonts w:asciiTheme="majorHAnsi" w:hAnsiTheme="majorHAnsi"/>
          <w:sz w:val="22"/>
          <w:szCs w:val="22"/>
        </w:rPr>
        <w:t>Ditchfield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, </w:t>
      </w:r>
      <w:r w:rsidR="00850551" w:rsidRPr="00A005FE">
        <w:rPr>
          <w:rFonts w:asciiTheme="majorHAnsi" w:hAnsiTheme="majorHAnsi"/>
          <w:sz w:val="22"/>
          <w:szCs w:val="22"/>
        </w:rPr>
        <w:t>‘</w:t>
      </w:r>
      <w:r w:rsidRPr="00A005FE">
        <w:rPr>
          <w:rFonts w:asciiTheme="majorHAnsi" w:hAnsiTheme="majorHAnsi"/>
          <w:sz w:val="22"/>
          <w:szCs w:val="22"/>
        </w:rPr>
        <w:t>Latitudinar</w:t>
      </w:r>
      <w:r w:rsidR="00A005FE" w:rsidRPr="00A005FE">
        <w:rPr>
          <w:rFonts w:asciiTheme="majorHAnsi" w:hAnsiTheme="majorHAnsi"/>
          <w:sz w:val="22"/>
          <w:szCs w:val="22"/>
        </w:rPr>
        <w:t>ian responses to Whitefield, c.</w:t>
      </w:r>
      <w:r w:rsidRPr="00A005FE">
        <w:rPr>
          <w:rFonts w:asciiTheme="majorHAnsi" w:hAnsiTheme="majorHAnsi"/>
          <w:sz w:val="22"/>
          <w:szCs w:val="22"/>
        </w:rPr>
        <w:t>1740-1790</w:t>
      </w:r>
      <w:r w:rsidR="00850551" w:rsidRPr="00A005FE">
        <w:rPr>
          <w:rFonts w:asciiTheme="majorHAnsi" w:hAnsiTheme="majorHAnsi"/>
          <w:sz w:val="22"/>
          <w:szCs w:val="22"/>
        </w:rPr>
        <w:t>’.</w:t>
      </w:r>
      <w:proofErr w:type="gramEnd"/>
      <w:r w:rsidRPr="00A005FE">
        <w:rPr>
          <w:rFonts w:asciiTheme="majorHAnsi" w:hAnsiTheme="majorHAnsi"/>
          <w:sz w:val="22"/>
          <w:szCs w:val="22"/>
        </w:rPr>
        <w:t xml:space="preserve"> </w:t>
      </w: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Peter S. </w:t>
      </w:r>
      <w:proofErr w:type="spellStart"/>
      <w:r w:rsidRPr="00A005FE">
        <w:rPr>
          <w:rFonts w:asciiTheme="majorHAnsi" w:hAnsiTheme="majorHAnsi"/>
          <w:sz w:val="22"/>
          <w:szCs w:val="22"/>
        </w:rPr>
        <w:t>Forsaith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, </w:t>
      </w:r>
      <w:r w:rsidR="00850551" w:rsidRPr="00A005FE">
        <w:rPr>
          <w:rFonts w:asciiTheme="majorHAnsi" w:hAnsiTheme="majorHAnsi"/>
          <w:sz w:val="22"/>
          <w:szCs w:val="22"/>
        </w:rPr>
        <w:t>‘</w:t>
      </w:r>
      <w:r w:rsidRPr="00A005FE">
        <w:rPr>
          <w:rFonts w:asciiTheme="majorHAnsi" w:hAnsiTheme="majorHAnsi"/>
          <w:sz w:val="22"/>
          <w:szCs w:val="22"/>
        </w:rPr>
        <w:t>Preachers, prints and portraits: Methodists and image in Georgian Britain</w:t>
      </w:r>
      <w:r w:rsidR="00850551" w:rsidRPr="00A005FE">
        <w:rPr>
          <w:rFonts w:asciiTheme="majorHAnsi" w:hAnsiTheme="majorHAnsi"/>
          <w:sz w:val="22"/>
          <w:szCs w:val="22"/>
        </w:rPr>
        <w:t>’.</w:t>
      </w:r>
      <w:r w:rsidRPr="00A005FE">
        <w:rPr>
          <w:rFonts w:asciiTheme="majorHAnsi" w:hAnsiTheme="majorHAnsi"/>
          <w:sz w:val="22"/>
          <w:szCs w:val="22"/>
        </w:rPr>
        <w:t> </w:t>
      </w: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Digby James, </w:t>
      </w:r>
      <w:r w:rsidR="00850551" w:rsidRPr="00A005FE">
        <w:rPr>
          <w:rFonts w:asciiTheme="majorHAnsi" w:hAnsiTheme="majorHAnsi"/>
          <w:sz w:val="22"/>
          <w:szCs w:val="22"/>
        </w:rPr>
        <w:t>‘</w:t>
      </w:r>
      <w:r w:rsidRPr="00A005FE">
        <w:rPr>
          <w:rFonts w:asciiTheme="majorHAnsi" w:hAnsiTheme="majorHAnsi"/>
          <w:sz w:val="22"/>
          <w:szCs w:val="22"/>
        </w:rPr>
        <w:t>George Whitefield’s Journals: A Publishing Phenomenon</w:t>
      </w:r>
      <w:r w:rsidR="00850551" w:rsidRPr="00A005FE">
        <w:rPr>
          <w:rFonts w:asciiTheme="majorHAnsi" w:hAnsiTheme="majorHAnsi"/>
          <w:sz w:val="22"/>
          <w:szCs w:val="22"/>
        </w:rPr>
        <w:t>’.</w:t>
      </w: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Maximilian J. </w:t>
      </w:r>
      <w:proofErr w:type="spellStart"/>
      <w:r w:rsidRPr="00A005FE">
        <w:rPr>
          <w:rFonts w:asciiTheme="majorHAnsi" w:hAnsiTheme="majorHAnsi"/>
          <w:sz w:val="22"/>
          <w:szCs w:val="22"/>
        </w:rPr>
        <w:t>Hölzl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, </w:t>
      </w:r>
      <w:r w:rsidR="00850551" w:rsidRPr="00A005FE">
        <w:rPr>
          <w:rFonts w:asciiTheme="majorHAnsi" w:hAnsiTheme="majorHAnsi"/>
          <w:sz w:val="22"/>
          <w:szCs w:val="22"/>
        </w:rPr>
        <w:t>‘</w:t>
      </w:r>
      <w:r w:rsidRPr="00A005FE">
        <w:rPr>
          <w:rFonts w:asciiTheme="majorHAnsi" w:hAnsiTheme="majorHAnsi"/>
          <w:sz w:val="22"/>
          <w:szCs w:val="22"/>
        </w:rPr>
        <w:t>George Whitefield’s Reception in Twentieth-Century German-Speaking Theology</w:t>
      </w:r>
      <w:r w:rsidR="00850551" w:rsidRPr="00A005FE">
        <w:rPr>
          <w:rFonts w:asciiTheme="majorHAnsi" w:hAnsiTheme="majorHAnsi"/>
          <w:sz w:val="22"/>
          <w:szCs w:val="22"/>
        </w:rPr>
        <w:t>’.</w:t>
      </w:r>
      <w:r w:rsidRPr="00A005FE">
        <w:rPr>
          <w:rFonts w:asciiTheme="majorHAnsi" w:hAnsiTheme="majorHAnsi"/>
          <w:sz w:val="22"/>
          <w:szCs w:val="22"/>
        </w:rPr>
        <w:t xml:space="preserve"> </w:t>
      </w: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</w:p>
    <w:p w:rsidR="009B00B6" w:rsidRPr="00A005FE" w:rsidRDefault="009B00B6" w:rsidP="003D66A4">
      <w:pPr>
        <w:rPr>
          <w:rFonts w:asciiTheme="majorHAnsi" w:hAnsiTheme="majorHAnsi"/>
          <w:b/>
          <w:sz w:val="22"/>
          <w:szCs w:val="22"/>
        </w:rPr>
      </w:pPr>
      <w:r w:rsidRPr="00A005FE">
        <w:rPr>
          <w:rFonts w:asciiTheme="majorHAnsi" w:hAnsiTheme="majorHAnsi"/>
          <w:b/>
          <w:sz w:val="22"/>
          <w:szCs w:val="22"/>
        </w:rPr>
        <w:t xml:space="preserve">Other published </w:t>
      </w:r>
      <w:r w:rsidR="00A005FE" w:rsidRPr="00A005FE">
        <w:rPr>
          <w:rFonts w:asciiTheme="majorHAnsi" w:hAnsiTheme="majorHAnsi"/>
          <w:b/>
          <w:sz w:val="22"/>
          <w:szCs w:val="22"/>
        </w:rPr>
        <w:t xml:space="preserve">and forthcoming </w:t>
      </w:r>
      <w:r w:rsidRPr="00A005FE">
        <w:rPr>
          <w:rFonts w:asciiTheme="majorHAnsi" w:hAnsiTheme="majorHAnsi"/>
          <w:b/>
          <w:sz w:val="22"/>
          <w:szCs w:val="22"/>
        </w:rPr>
        <w:t>essays:</w:t>
      </w:r>
    </w:p>
    <w:p w:rsidR="009B00B6" w:rsidRPr="00A005FE" w:rsidRDefault="009B00B6" w:rsidP="003D66A4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Rhys </w:t>
      </w:r>
      <w:proofErr w:type="spellStart"/>
      <w:r w:rsidRPr="00A005FE">
        <w:rPr>
          <w:rFonts w:asciiTheme="majorHAnsi" w:hAnsiTheme="majorHAnsi"/>
          <w:sz w:val="22"/>
          <w:szCs w:val="22"/>
        </w:rPr>
        <w:t>Bezzant</w:t>
      </w:r>
      <w:proofErr w:type="spellEnd"/>
      <w:r w:rsidRPr="00A005FE">
        <w:rPr>
          <w:rFonts w:asciiTheme="majorHAnsi" w:hAnsiTheme="majorHAnsi"/>
          <w:sz w:val="22"/>
          <w:szCs w:val="22"/>
        </w:rPr>
        <w:t>, ‘Whitefield’s Voice: Heroic, Apostolic, Prophetic’, in</w:t>
      </w:r>
      <w:r w:rsidRPr="00A005FE">
        <w:rPr>
          <w:rFonts w:asciiTheme="majorHAnsi" w:hAnsiTheme="majorHAnsi"/>
          <w:i/>
          <w:iCs/>
          <w:sz w:val="22"/>
          <w:szCs w:val="22"/>
        </w:rPr>
        <w:t> </w:t>
      </w:r>
      <w:r w:rsidRPr="00A005FE">
        <w:rPr>
          <w:rFonts w:asciiTheme="majorHAnsi" w:hAnsiTheme="majorHAnsi"/>
          <w:sz w:val="22"/>
          <w:szCs w:val="22"/>
        </w:rPr>
        <w:t xml:space="preserve">Brian S. </w:t>
      </w:r>
      <w:proofErr w:type="spellStart"/>
      <w:r w:rsidRPr="00A005FE">
        <w:rPr>
          <w:rFonts w:asciiTheme="majorHAnsi" w:hAnsiTheme="majorHAnsi"/>
          <w:sz w:val="22"/>
          <w:szCs w:val="22"/>
        </w:rPr>
        <w:t>Rosner</w:t>
      </w:r>
      <w:proofErr w:type="spellEnd"/>
      <w:r w:rsidRPr="00A005FE">
        <w:rPr>
          <w:rFonts w:asciiTheme="majorHAnsi" w:hAnsiTheme="majorHAnsi"/>
          <w:sz w:val="22"/>
          <w:szCs w:val="22"/>
        </w:rPr>
        <w:t>, Andrew S. Malone, and Trevor J. Burke</w:t>
      </w:r>
      <w:r w:rsidR="009B00B6" w:rsidRPr="00A005FE">
        <w:rPr>
          <w:rFonts w:asciiTheme="majorHAnsi" w:hAnsiTheme="majorHAnsi"/>
          <w:sz w:val="22"/>
          <w:szCs w:val="22"/>
        </w:rPr>
        <w:t xml:space="preserve"> (</w:t>
      </w:r>
      <w:proofErr w:type="spellStart"/>
      <w:proofErr w:type="gramStart"/>
      <w:r w:rsidRPr="00A005FE">
        <w:rPr>
          <w:rFonts w:asciiTheme="majorHAnsi" w:hAnsiTheme="majorHAnsi"/>
          <w:sz w:val="22"/>
          <w:szCs w:val="22"/>
        </w:rPr>
        <w:t>eds</w:t>
      </w:r>
      <w:proofErr w:type="spellEnd"/>
      <w:proofErr w:type="gramEnd"/>
      <w:r w:rsidR="009B00B6" w:rsidRPr="00A005FE">
        <w:rPr>
          <w:rFonts w:asciiTheme="majorHAnsi" w:hAnsiTheme="majorHAnsi"/>
          <w:sz w:val="22"/>
          <w:szCs w:val="22"/>
        </w:rPr>
        <w:t>),</w:t>
      </w:r>
      <w:r w:rsidRPr="00A005FE">
        <w:rPr>
          <w:rFonts w:asciiTheme="majorHAnsi" w:hAnsiTheme="majorHAnsi"/>
          <w:i/>
          <w:iCs/>
          <w:sz w:val="22"/>
          <w:szCs w:val="22"/>
        </w:rPr>
        <w:t xml:space="preserve"> Paul as Pastor</w:t>
      </w:r>
      <w:r w:rsidRPr="00A005FE">
        <w:rPr>
          <w:rFonts w:asciiTheme="majorHAnsi" w:hAnsiTheme="majorHAnsi"/>
          <w:sz w:val="22"/>
          <w:szCs w:val="22"/>
        </w:rPr>
        <w:t xml:space="preserve"> (London: Bloomsbury T&amp;T Clark, 2016).</w:t>
      </w: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John Coffey, ‘Evangelical Revival in Enlightenment Britain: James Erskine of Grange and the </w:t>
      </w:r>
      <w:proofErr w:type="spellStart"/>
      <w:r w:rsidRPr="00A005FE">
        <w:rPr>
          <w:rFonts w:asciiTheme="majorHAnsi" w:hAnsiTheme="majorHAnsi"/>
          <w:sz w:val="22"/>
          <w:szCs w:val="22"/>
        </w:rPr>
        <w:t>Pietist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 Turn’, in Anthony Cr</w:t>
      </w:r>
      <w:r w:rsidR="009B00B6" w:rsidRPr="00A005FE">
        <w:rPr>
          <w:rFonts w:asciiTheme="majorHAnsi" w:hAnsiTheme="majorHAnsi"/>
          <w:sz w:val="22"/>
          <w:szCs w:val="22"/>
        </w:rPr>
        <w:t>oss, Peter Morden, Ian Randall (</w:t>
      </w:r>
      <w:proofErr w:type="spellStart"/>
      <w:proofErr w:type="gramStart"/>
      <w:r w:rsidRPr="00A005FE">
        <w:rPr>
          <w:rFonts w:asciiTheme="majorHAnsi" w:hAnsiTheme="majorHAnsi"/>
          <w:sz w:val="22"/>
          <w:szCs w:val="22"/>
        </w:rPr>
        <w:t>eds</w:t>
      </w:r>
      <w:proofErr w:type="spellEnd"/>
      <w:proofErr w:type="gramEnd"/>
      <w:r w:rsidR="009B00B6" w:rsidRPr="00A005FE">
        <w:rPr>
          <w:rFonts w:asciiTheme="majorHAnsi" w:hAnsiTheme="majorHAnsi"/>
          <w:sz w:val="22"/>
          <w:szCs w:val="22"/>
        </w:rPr>
        <w:t>)</w:t>
      </w:r>
      <w:r w:rsidRPr="00A005FE">
        <w:rPr>
          <w:rFonts w:asciiTheme="majorHAnsi" w:hAnsiTheme="majorHAnsi"/>
          <w:sz w:val="22"/>
          <w:szCs w:val="22"/>
        </w:rPr>
        <w:t>, </w:t>
      </w:r>
      <w:r w:rsidRPr="00A005FE">
        <w:rPr>
          <w:rFonts w:asciiTheme="majorHAnsi" w:hAnsiTheme="majorHAnsi"/>
          <w:i/>
          <w:iCs/>
          <w:sz w:val="22"/>
          <w:szCs w:val="22"/>
        </w:rPr>
        <w:t xml:space="preserve">Pathways and Patterns in History: Essays on Baptists, Evangelicals, and the Modern World in Honour of David </w:t>
      </w:r>
      <w:proofErr w:type="spellStart"/>
      <w:r w:rsidRPr="00A005FE">
        <w:rPr>
          <w:rFonts w:asciiTheme="majorHAnsi" w:hAnsiTheme="majorHAnsi"/>
          <w:i/>
          <w:iCs/>
          <w:sz w:val="22"/>
          <w:szCs w:val="22"/>
        </w:rPr>
        <w:t>Bebbington</w:t>
      </w:r>
      <w:proofErr w:type="spellEnd"/>
      <w:r w:rsidRPr="00A005FE">
        <w:rPr>
          <w:rFonts w:asciiTheme="majorHAnsi" w:hAnsiTheme="majorHAnsi"/>
          <w:i/>
          <w:iCs/>
          <w:sz w:val="22"/>
          <w:szCs w:val="22"/>
        </w:rPr>
        <w:t> </w:t>
      </w:r>
      <w:r w:rsidRPr="00A005FE">
        <w:rPr>
          <w:rFonts w:asciiTheme="majorHAnsi" w:hAnsiTheme="majorHAnsi"/>
          <w:sz w:val="22"/>
          <w:szCs w:val="22"/>
        </w:rPr>
        <w:t>(Spurgeon’s College/Baptist Historical Society, 2015), 187-214.</w:t>
      </w:r>
    </w:p>
    <w:p w:rsidR="00850551" w:rsidRPr="00A005FE" w:rsidRDefault="00850551" w:rsidP="003D66A4">
      <w:pPr>
        <w:rPr>
          <w:rFonts w:asciiTheme="majorHAnsi" w:hAnsiTheme="majorHAnsi"/>
          <w:sz w:val="22"/>
          <w:szCs w:val="22"/>
        </w:rPr>
      </w:pPr>
    </w:p>
    <w:p w:rsidR="00850551" w:rsidRPr="00A005FE" w:rsidRDefault="00850551" w:rsidP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>Andre</w:t>
      </w:r>
      <w:r w:rsidR="00C32B18">
        <w:rPr>
          <w:rFonts w:asciiTheme="majorHAnsi" w:hAnsiTheme="majorHAnsi"/>
          <w:sz w:val="22"/>
          <w:szCs w:val="22"/>
        </w:rPr>
        <w:t xml:space="preserve">w </w:t>
      </w:r>
      <w:proofErr w:type="spellStart"/>
      <w:r w:rsidR="00C32B18">
        <w:rPr>
          <w:rFonts w:asciiTheme="majorHAnsi" w:hAnsiTheme="majorHAnsi"/>
          <w:sz w:val="22"/>
          <w:szCs w:val="22"/>
        </w:rPr>
        <w:t>Kloes</w:t>
      </w:r>
      <w:proofErr w:type="spellEnd"/>
      <w:r w:rsidR="00C32B18">
        <w:rPr>
          <w:rFonts w:asciiTheme="majorHAnsi" w:hAnsiTheme="majorHAnsi"/>
          <w:sz w:val="22"/>
          <w:szCs w:val="22"/>
        </w:rPr>
        <w:t>, ‘German Protestants’ I</w:t>
      </w:r>
      <w:r w:rsidRPr="00A005FE">
        <w:rPr>
          <w:rFonts w:asciiTheme="majorHAnsi" w:hAnsiTheme="majorHAnsi"/>
          <w:sz w:val="22"/>
          <w:szCs w:val="22"/>
        </w:rPr>
        <w:t xml:space="preserve">nterpretations of George Whitefield, 1739-1857’, </w:t>
      </w:r>
      <w:r w:rsidRPr="00A005FE">
        <w:rPr>
          <w:rFonts w:asciiTheme="majorHAnsi" w:hAnsiTheme="majorHAnsi"/>
          <w:i/>
          <w:sz w:val="22"/>
          <w:szCs w:val="22"/>
        </w:rPr>
        <w:t>Wesley and Methodist Studies</w:t>
      </w:r>
      <w:r w:rsidRPr="00A005FE">
        <w:rPr>
          <w:rFonts w:asciiTheme="majorHAnsi" w:hAnsiTheme="majorHAnsi"/>
          <w:sz w:val="22"/>
          <w:szCs w:val="22"/>
        </w:rPr>
        <w:t>, 8:2 (June 2016)</w:t>
      </w:r>
      <w:r w:rsidR="00C32B18">
        <w:rPr>
          <w:rFonts w:asciiTheme="majorHAnsi" w:hAnsiTheme="majorHAnsi"/>
          <w:sz w:val="22"/>
          <w:szCs w:val="22"/>
        </w:rPr>
        <w:t>, 99-119</w:t>
      </w:r>
      <w:r w:rsidRPr="00A005FE">
        <w:rPr>
          <w:rFonts w:asciiTheme="majorHAnsi" w:hAnsiTheme="majorHAnsi"/>
          <w:sz w:val="22"/>
          <w:szCs w:val="22"/>
        </w:rPr>
        <w:t>.</w:t>
      </w:r>
    </w:p>
    <w:p w:rsidR="003D66A4" w:rsidRPr="00A005FE" w:rsidRDefault="003D66A4">
      <w:pPr>
        <w:rPr>
          <w:rFonts w:asciiTheme="majorHAnsi" w:hAnsiTheme="majorHAnsi"/>
          <w:sz w:val="22"/>
          <w:szCs w:val="22"/>
        </w:rPr>
      </w:pPr>
    </w:p>
    <w:p w:rsidR="003D66A4" w:rsidRDefault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Philippa Koch, ‘Slavery, Mission, and the Perils of Providence: The Writings of Whitefield and the Halle </w:t>
      </w:r>
      <w:proofErr w:type="spellStart"/>
      <w:r w:rsidRPr="00A005FE">
        <w:rPr>
          <w:rFonts w:asciiTheme="majorHAnsi" w:hAnsiTheme="majorHAnsi"/>
          <w:sz w:val="22"/>
          <w:szCs w:val="22"/>
        </w:rPr>
        <w:t>Pietists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’, </w:t>
      </w:r>
      <w:r w:rsidRPr="00A005FE">
        <w:rPr>
          <w:rFonts w:asciiTheme="majorHAnsi" w:hAnsiTheme="majorHAnsi"/>
          <w:i/>
          <w:sz w:val="22"/>
          <w:szCs w:val="22"/>
        </w:rPr>
        <w:t>Church History: Studies in Christianity and Culture</w:t>
      </w:r>
      <w:r w:rsidRPr="00A005FE">
        <w:rPr>
          <w:rFonts w:asciiTheme="majorHAnsi" w:hAnsiTheme="majorHAnsi"/>
          <w:sz w:val="22"/>
          <w:szCs w:val="22"/>
        </w:rPr>
        <w:t>, 84 (June 2015), 369-93.</w:t>
      </w:r>
    </w:p>
    <w:p w:rsidR="00581DC8" w:rsidRDefault="00581DC8">
      <w:pPr>
        <w:rPr>
          <w:rFonts w:asciiTheme="majorHAnsi" w:hAnsiTheme="majorHAnsi"/>
          <w:sz w:val="22"/>
          <w:szCs w:val="22"/>
        </w:rPr>
      </w:pPr>
    </w:p>
    <w:p w:rsidR="00581DC8" w:rsidRPr="00A005FE" w:rsidRDefault="00581D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Ian J. Maddock, ‘</w:t>
      </w:r>
      <w:r w:rsidRPr="00581DC8">
        <w:rPr>
          <w:rFonts w:asciiTheme="majorHAnsi" w:hAnsiTheme="majorHAnsi"/>
          <w:sz w:val="22"/>
          <w:szCs w:val="22"/>
        </w:rPr>
        <w:t>George White</w:t>
      </w:r>
      <w:r>
        <w:rPr>
          <w:rFonts w:asciiTheme="majorHAnsi" w:hAnsiTheme="majorHAnsi"/>
          <w:sz w:val="22"/>
          <w:szCs w:val="22"/>
        </w:rPr>
        <w:t>field: Christian Perfectionist?</w:t>
      </w:r>
      <w:proofErr w:type="gramStart"/>
      <w:r>
        <w:rPr>
          <w:rFonts w:asciiTheme="majorHAnsi" w:hAnsiTheme="majorHAnsi"/>
          <w:sz w:val="22"/>
          <w:szCs w:val="22"/>
        </w:rPr>
        <w:t>’,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581DC8">
        <w:rPr>
          <w:rFonts w:asciiTheme="majorHAnsi" w:hAnsiTheme="majorHAnsi"/>
          <w:i/>
          <w:iCs/>
          <w:sz w:val="22"/>
          <w:szCs w:val="22"/>
        </w:rPr>
        <w:t>Reformed Theological Review</w:t>
      </w:r>
      <w:r>
        <w:rPr>
          <w:rFonts w:asciiTheme="majorHAnsi" w:hAnsiTheme="majorHAnsi"/>
          <w:iCs/>
          <w:sz w:val="22"/>
          <w:szCs w:val="22"/>
        </w:rPr>
        <w:t>,</w:t>
      </w:r>
      <w:r w:rsidRPr="00581DC8">
        <w:rPr>
          <w:rFonts w:asciiTheme="majorHAnsi" w:hAnsiTheme="majorHAnsi"/>
          <w:sz w:val="22"/>
          <w:szCs w:val="22"/>
        </w:rPr>
        <w:t> </w:t>
      </w:r>
      <w:r>
        <w:rPr>
          <w:rFonts w:asciiTheme="majorHAnsi" w:hAnsiTheme="majorHAnsi"/>
          <w:sz w:val="22"/>
          <w:szCs w:val="22"/>
        </w:rPr>
        <w:t>74:</w:t>
      </w:r>
      <w:r w:rsidRPr="00581DC8">
        <w:rPr>
          <w:rFonts w:asciiTheme="majorHAnsi" w:hAnsiTheme="majorHAnsi"/>
          <w:sz w:val="22"/>
          <w:szCs w:val="22"/>
        </w:rPr>
        <w:t>3 (2015)</w:t>
      </w:r>
      <w:r>
        <w:rPr>
          <w:rFonts w:asciiTheme="majorHAnsi" w:hAnsiTheme="majorHAnsi"/>
          <w:sz w:val="22"/>
          <w:szCs w:val="22"/>
        </w:rPr>
        <w:t>,</w:t>
      </w:r>
      <w:r w:rsidRPr="00581DC8">
        <w:rPr>
          <w:rFonts w:asciiTheme="majorHAnsi" w:hAnsiTheme="majorHAnsi"/>
          <w:sz w:val="22"/>
          <w:szCs w:val="22"/>
        </w:rPr>
        <w:t xml:space="preserve"> 147-161.</w:t>
      </w:r>
    </w:p>
    <w:p w:rsidR="003D66A4" w:rsidRPr="00A005FE" w:rsidRDefault="003D66A4">
      <w:pPr>
        <w:rPr>
          <w:rFonts w:asciiTheme="majorHAnsi" w:hAnsiTheme="majorHAnsi"/>
          <w:sz w:val="22"/>
          <w:szCs w:val="22"/>
        </w:rPr>
      </w:pPr>
    </w:p>
    <w:p w:rsidR="003D66A4" w:rsidRPr="00A005FE" w:rsidRDefault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Peter J. Morden, </w:t>
      </w:r>
      <w:r w:rsidR="00850551" w:rsidRPr="00A005FE">
        <w:rPr>
          <w:rFonts w:asciiTheme="majorHAnsi" w:hAnsiTheme="majorHAnsi"/>
          <w:sz w:val="22"/>
          <w:szCs w:val="22"/>
        </w:rPr>
        <w:t>‘“</w:t>
      </w:r>
      <w:r w:rsidRPr="00A005FE">
        <w:rPr>
          <w:rFonts w:asciiTheme="majorHAnsi" w:hAnsiTheme="majorHAnsi"/>
          <w:sz w:val="22"/>
          <w:szCs w:val="22"/>
        </w:rPr>
        <w:t>The Nineteenth-Century Whitefield</w:t>
      </w:r>
      <w:r w:rsidR="00850551" w:rsidRPr="00A005FE">
        <w:rPr>
          <w:rFonts w:asciiTheme="majorHAnsi" w:hAnsiTheme="majorHAnsi"/>
          <w:sz w:val="22"/>
          <w:szCs w:val="22"/>
        </w:rPr>
        <w:t>”</w:t>
      </w:r>
      <w:r w:rsidRPr="00A005FE">
        <w:rPr>
          <w:rFonts w:asciiTheme="majorHAnsi" w:hAnsiTheme="majorHAnsi"/>
          <w:sz w:val="22"/>
          <w:szCs w:val="22"/>
        </w:rPr>
        <w:t>: Charles Haddon Spurgeon and George Whitefield</w:t>
      </w:r>
      <w:r w:rsidR="00850551" w:rsidRPr="00A005FE">
        <w:rPr>
          <w:rFonts w:asciiTheme="majorHAnsi" w:hAnsiTheme="majorHAnsi"/>
          <w:sz w:val="22"/>
          <w:szCs w:val="22"/>
        </w:rPr>
        <w:t>’</w:t>
      </w:r>
      <w:r w:rsidRPr="00A005FE">
        <w:rPr>
          <w:rFonts w:asciiTheme="majorHAnsi" w:hAnsiTheme="majorHAnsi"/>
          <w:sz w:val="22"/>
          <w:szCs w:val="22"/>
        </w:rPr>
        <w:t xml:space="preserve">, </w:t>
      </w:r>
      <w:r w:rsidRPr="00A005FE">
        <w:rPr>
          <w:rFonts w:asciiTheme="majorHAnsi" w:hAnsiTheme="majorHAnsi"/>
          <w:i/>
          <w:sz w:val="22"/>
          <w:szCs w:val="22"/>
        </w:rPr>
        <w:t>Proceedings of the Wesley Historical Society</w:t>
      </w:r>
      <w:r w:rsidRPr="00A005FE">
        <w:rPr>
          <w:rFonts w:asciiTheme="majorHAnsi" w:hAnsiTheme="majorHAnsi"/>
          <w:sz w:val="22"/>
          <w:szCs w:val="22"/>
        </w:rPr>
        <w:t xml:space="preserve">, 60:1 (Feb. 2015), 18-26. </w:t>
      </w:r>
    </w:p>
    <w:p w:rsidR="00D51D84" w:rsidRPr="00A005FE" w:rsidRDefault="00D51D84">
      <w:pPr>
        <w:rPr>
          <w:rFonts w:asciiTheme="majorHAnsi" w:hAnsiTheme="majorHAnsi"/>
          <w:sz w:val="22"/>
          <w:szCs w:val="22"/>
        </w:rPr>
      </w:pPr>
    </w:p>
    <w:p w:rsidR="00D51D84" w:rsidRPr="00A005FE" w:rsidRDefault="00D51D84">
      <w:pPr>
        <w:rPr>
          <w:rFonts w:asciiTheme="majorHAnsi" w:hAnsiTheme="majorHAnsi"/>
          <w:sz w:val="22"/>
          <w:szCs w:val="22"/>
        </w:rPr>
      </w:pPr>
      <w:proofErr w:type="gramStart"/>
      <w:r w:rsidRPr="00A005FE">
        <w:rPr>
          <w:rFonts w:asciiTheme="majorHAnsi" w:hAnsiTheme="majorHAnsi"/>
          <w:sz w:val="22"/>
          <w:szCs w:val="22"/>
        </w:rPr>
        <w:t xml:space="preserve">Glen O’Brien, ‘George Whitefield, John Wesley, and the Rhetoric of Liberty’, </w:t>
      </w:r>
      <w:r w:rsidRPr="00A005FE">
        <w:rPr>
          <w:rFonts w:asciiTheme="majorHAnsi" w:hAnsiTheme="majorHAnsi"/>
          <w:i/>
          <w:sz w:val="22"/>
          <w:szCs w:val="22"/>
        </w:rPr>
        <w:t>Religion in the Age of Enlightenment</w:t>
      </w:r>
      <w:r w:rsidRPr="00A005FE">
        <w:rPr>
          <w:rFonts w:asciiTheme="majorHAnsi" w:hAnsiTheme="majorHAnsi"/>
          <w:sz w:val="22"/>
          <w:szCs w:val="22"/>
        </w:rPr>
        <w:t>, 6 (2016).</w:t>
      </w:r>
      <w:proofErr w:type="gramEnd"/>
    </w:p>
    <w:p w:rsidR="00A005FE" w:rsidRPr="00A005FE" w:rsidRDefault="00A005F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A005FE" w:rsidRPr="00A005FE" w:rsidRDefault="00A005FE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>Jessica M. Parr, ‘Plotting Piety: Religious Spaces and t</w:t>
      </w:r>
      <w:r w:rsidR="00C32B18">
        <w:rPr>
          <w:rFonts w:asciiTheme="majorHAnsi" w:hAnsiTheme="majorHAnsi"/>
          <w:sz w:val="22"/>
          <w:szCs w:val="22"/>
        </w:rPr>
        <w:t>he Mapping of George Whitefield’</w:t>
      </w:r>
      <w:r w:rsidRPr="00A005FE">
        <w:rPr>
          <w:rFonts w:asciiTheme="majorHAnsi" w:hAnsiTheme="majorHAnsi"/>
          <w:sz w:val="22"/>
          <w:szCs w:val="22"/>
        </w:rPr>
        <w:t xml:space="preserve">s World’, </w:t>
      </w:r>
      <w:r w:rsidRPr="00A005FE">
        <w:rPr>
          <w:rFonts w:asciiTheme="majorHAnsi" w:hAnsiTheme="majorHAnsi"/>
          <w:i/>
          <w:sz w:val="22"/>
          <w:szCs w:val="22"/>
        </w:rPr>
        <w:t>Wesley and Methodist Studies</w:t>
      </w:r>
      <w:r w:rsidRPr="00A005FE">
        <w:rPr>
          <w:rFonts w:asciiTheme="majorHAnsi" w:hAnsiTheme="majorHAnsi"/>
          <w:sz w:val="22"/>
          <w:szCs w:val="22"/>
        </w:rPr>
        <w:t>, 8:2 (June 2016)</w:t>
      </w:r>
      <w:r w:rsidR="00C32B18">
        <w:rPr>
          <w:rFonts w:asciiTheme="majorHAnsi" w:hAnsiTheme="majorHAnsi"/>
          <w:sz w:val="22"/>
          <w:szCs w:val="22"/>
        </w:rPr>
        <w:t>, 120-34</w:t>
      </w:r>
      <w:r w:rsidRPr="00A005FE">
        <w:rPr>
          <w:rFonts w:asciiTheme="majorHAnsi" w:hAnsiTheme="majorHAnsi"/>
          <w:sz w:val="22"/>
          <w:szCs w:val="22"/>
        </w:rPr>
        <w:t>.</w:t>
      </w:r>
    </w:p>
    <w:p w:rsidR="00850551" w:rsidRPr="00A005FE" w:rsidRDefault="00850551">
      <w:pPr>
        <w:rPr>
          <w:rFonts w:asciiTheme="majorHAnsi" w:hAnsiTheme="majorHAnsi"/>
          <w:sz w:val="22"/>
          <w:szCs w:val="22"/>
        </w:rPr>
      </w:pPr>
    </w:p>
    <w:p w:rsidR="00850551" w:rsidRPr="00A005FE" w:rsidRDefault="00850551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Tom </w:t>
      </w:r>
      <w:proofErr w:type="spellStart"/>
      <w:r w:rsidRPr="00A005FE">
        <w:rPr>
          <w:rFonts w:asciiTheme="majorHAnsi" w:hAnsiTheme="majorHAnsi"/>
          <w:sz w:val="22"/>
          <w:szCs w:val="22"/>
        </w:rPr>
        <w:t>Schwanda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, ‘Unity and Division: The Changing Theology and Friendship </w:t>
      </w:r>
      <w:proofErr w:type="gramStart"/>
      <w:r w:rsidRPr="00A005FE">
        <w:rPr>
          <w:rFonts w:asciiTheme="majorHAnsi" w:hAnsiTheme="majorHAnsi"/>
          <w:sz w:val="22"/>
          <w:szCs w:val="22"/>
        </w:rPr>
        <w:t>Between</w:t>
      </w:r>
      <w:proofErr w:type="gramEnd"/>
      <w:r w:rsidRPr="00A005FE">
        <w:rPr>
          <w:rFonts w:asciiTheme="majorHAnsi" w:hAnsiTheme="majorHAnsi"/>
          <w:sz w:val="22"/>
          <w:szCs w:val="22"/>
        </w:rPr>
        <w:t xml:space="preserve"> George Whitefield and John </w:t>
      </w:r>
      <w:proofErr w:type="spellStart"/>
      <w:r w:rsidRPr="00A005FE">
        <w:rPr>
          <w:rFonts w:asciiTheme="majorHAnsi" w:hAnsiTheme="majorHAnsi"/>
          <w:sz w:val="22"/>
          <w:szCs w:val="22"/>
        </w:rPr>
        <w:t>Cennick</w:t>
      </w:r>
      <w:proofErr w:type="spellEnd"/>
      <w:r w:rsidRPr="00A005FE">
        <w:rPr>
          <w:rFonts w:asciiTheme="majorHAnsi" w:hAnsiTheme="majorHAnsi"/>
          <w:sz w:val="22"/>
          <w:szCs w:val="22"/>
        </w:rPr>
        <w:t xml:space="preserve">’, </w:t>
      </w:r>
      <w:r w:rsidRPr="00A005FE">
        <w:rPr>
          <w:rFonts w:asciiTheme="majorHAnsi" w:hAnsiTheme="majorHAnsi"/>
          <w:i/>
          <w:sz w:val="22"/>
          <w:szCs w:val="22"/>
        </w:rPr>
        <w:t>Proceedings of the Wesley Historical Society</w:t>
      </w:r>
      <w:r w:rsidR="00A005FE" w:rsidRPr="00A005FE">
        <w:rPr>
          <w:rFonts w:asciiTheme="majorHAnsi" w:hAnsiTheme="majorHAnsi"/>
          <w:sz w:val="22"/>
          <w:szCs w:val="22"/>
        </w:rPr>
        <w:t>, 60:3 (Oct. 2015), 111-22.</w:t>
      </w:r>
    </w:p>
    <w:p w:rsidR="003D66A4" w:rsidRPr="00A005FE" w:rsidRDefault="003D66A4">
      <w:pPr>
        <w:rPr>
          <w:rFonts w:asciiTheme="majorHAnsi" w:hAnsiTheme="majorHAnsi"/>
          <w:sz w:val="22"/>
          <w:szCs w:val="22"/>
        </w:rPr>
      </w:pPr>
    </w:p>
    <w:p w:rsidR="00560575" w:rsidRPr="00A005FE" w:rsidRDefault="003D66A4">
      <w:pPr>
        <w:rPr>
          <w:rFonts w:asciiTheme="majorHAnsi" w:hAnsiTheme="majorHAnsi"/>
          <w:sz w:val="22"/>
          <w:szCs w:val="22"/>
        </w:rPr>
      </w:pPr>
      <w:r w:rsidRPr="00A005FE">
        <w:rPr>
          <w:rFonts w:asciiTheme="majorHAnsi" w:hAnsiTheme="majorHAnsi"/>
          <w:sz w:val="22"/>
          <w:szCs w:val="22"/>
        </w:rPr>
        <w:t xml:space="preserve"> </w:t>
      </w:r>
    </w:p>
    <w:sectPr w:rsidR="00560575" w:rsidRPr="00A00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A4"/>
    <w:rsid w:val="001E53F8"/>
    <w:rsid w:val="00275F4C"/>
    <w:rsid w:val="003D1A76"/>
    <w:rsid w:val="003D66A4"/>
    <w:rsid w:val="00410EBC"/>
    <w:rsid w:val="00581DC8"/>
    <w:rsid w:val="005E706E"/>
    <w:rsid w:val="007130BF"/>
    <w:rsid w:val="007653CA"/>
    <w:rsid w:val="00850551"/>
    <w:rsid w:val="009309EE"/>
    <w:rsid w:val="009B00B6"/>
    <w:rsid w:val="00A005FE"/>
    <w:rsid w:val="00C053AA"/>
    <w:rsid w:val="00C32B18"/>
    <w:rsid w:val="00CA267C"/>
    <w:rsid w:val="00D00CAD"/>
    <w:rsid w:val="00D51D84"/>
    <w:rsid w:val="00DC711E"/>
    <w:rsid w:val="00E13E7B"/>
    <w:rsid w:val="00E5438E"/>
    <w:rsid w:val="00E65371"/>
    <w:rsid w:val="00E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6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6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6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6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6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6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6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6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6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6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6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6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6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6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6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6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6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6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6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6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6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6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6A4"/>
    <w:rPr>
      <w:b/>
      <w:bCs/>
    </w:rPr>
  </w:style>
  <w:style w:type="character" w:styleId="Emphasis">
    <w:name w:val="Emphasis"/>
    <w:basedOn w:val="DefaultParagraphFont"/>
    <w:uiPriority w:val="20"/>
    <w:qFormat/>
    <w:rsid w:val="003D66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6A4"/>
    <w:rPr>
      <w:szCs w:val="32"/>
    </w:rPr>
  </w:style>
  <w:style w:type="paragraph" w:styleId="ListParagraph">
    <w:name w:val="List Paragraph"/>
    <w:basedOn w:val="Normal"/>
    <w:uiPriority w:val="34"/>
    <w:qFormat/>
    <w:rsid w:val="003D66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6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66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6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6A4"/>
    <w:rPr>
      <w:b/>
      <w:i/>
      <w:sz w:val="24"/>
    </w:rPr>
  </w:style>
  <w:style w:type="character" w:styleId="SubtleEmphasis">
    <w:name w:val="Subtle Emphasis"/>
    <w:uiPriority w:val="19"/>
    <w:qFormat/>
    <w:rsid w:val="003D66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6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6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6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6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6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05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6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6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6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6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6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6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6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6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6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6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6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6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6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6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6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6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6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6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6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6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6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6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6A4"/>
    <w:rPr>
      <w:b/>
      <w:bCs/>
    </w:rPr>
  </w:style>
  <w:style w:type="character" w:styleId="Emphasis">
    <w:name w:val="Emphasis"/>
    <w:basedOn w:val="DefaultParagraphFont"/>
    <w:uiPriority w:val="20"/>
    <w:qFormat/>
    <w:rsid w:val="003D66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6A4"/>
    <w:rPr>
      <w:szCs w:val="32"/>
    </w:rPr>
  </w:style>
  <w:style w:type="paragraph" w:styleId="ListParagraph">
    <w:name w:val="List Paragraph"/>
    <w:basedOn w:val="Normal"/>
    <w:uiPriority w:val="34"/>
    <w:qFormat/>
    <w:rsid w:val="003D66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6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66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6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6A4"/>
    <w:rPr>
      <w:b/>
      <w:i/>
      <w:sz w:val="24"/>
    </w:rPr>
  </w:style>
  <w:style w:type="character" w:styleId="SubtleEmphasis">
    <w:name w:val="Subtle Emphasis"/>
    <w:uiPriority w:val="19"/>
    <w:qFormat/>
    <w:rsid w:val="003D66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6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6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6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6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6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05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wp.co.uk/editions/9781783168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3</cp:revision>
  <cp:lastPrinted>2015-11-03T15:52:00Z</cp:lastPrinted>
  <dcterms:created xsi:type="dcterms:W3CDTF">2016-05-18T09:03:00Z</dcterms:created>
  <dcterms:modified xsi:type="dcterms:W3CDTF">2016-05-18T09:08:00Z</dcterms:modified>
</cp:coreProperties>
</file>