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lang w:val="en-AU" w:eastAsia="ja-JP"/>
        </w:rPr>
        <w:id w:val="1753547196"/>
        <w:docPartObj>
          <w:docPartGallery w:val="Cover Pages"/>
          <w:docPartUnique/>
        </w:docPartObj>
      </w:sdtPr>
      <w:sdtEndPr>
        <w:rPr>
          <w:lang w:eastAsia="en-US"/>
        </w:rPr>
      </w:sdtEndPr>
      <w:sdtContent>
        <w:p w14:paraId="257247A9" w14:textId="6E1F433E" w:rsidR="003B76F8" w:rsidRPr="00394C86" w:rsidRDefault="003B76F8">
          <w:pPr>
            <w:pStyle w:val="NoSpacing"/>
            <w:rPr>
              <w:rFonts w:ascii="Calibri" w:hAnsi="Calibri" w:cs="Calibri"/>
              <w:lang w:val="en-AU"/>
            </w:rPr>
          </w:pPr>
        </w:p>
        <w:p w14:paraId="3489CBFF" w14:textId="2045DF58" w:rsidR="00C604EE" w:rsidRPr="006A0076" w:rsidRDefault="00810FB4" w:rsidP="00C604EE">
          <w:pPr>
            <w:pStyle w:val="NoSpacing"/>
            <w:jc w:val="center"/>
            <w:rPr>
              <w:rFonts w:ascii="Calibri" w:hAnsi="Calibri" w:cs="Calibri"/>
              <w:color w:val="FFFFFF" w:themeColor="background1"/>
              <w:sz w:val="28"/>
              <w:szCs w:val="28"/>
              <w:lang w:val="en-AU"/>
            </w:rPr>
          </w:pPr>
          <w:r w:rsidRPr="00656F60">
            <w:rPr>
              <w:rFonts w:ascii="Calibri" w:hAnsi="Calibri" w:cs="Calibri"/>
              <w:noProof/>
              <w:lang w:val="en-GB" w:eastAsia="en-GB"/>
            </w:rPr>
            <mc:AlternateContent>
              <mc:Choice Requires="wps">
                <w:drawing>
                  <wp:anchor distT="45720" distB="45720" distL="114300" distR="114300" simplePos="0" relativeHeight="251664384" behindDoc="0" locked="0" layoutInCell="1" allowOverlap="1" wp14:anchorId="3F8BDC06" wp14:editId="5C45D8C6">
                    <wp:simplePos x="0" y="0"/>
                    <wp:positionH relativeFrom="page">
                      <wp:posOffset>4800600</wp:posOffset>
                    </wp:positionH>
                    <wp:positionV relativeFrom="paragraph">
                      <wp:posOffset>6726604</wp:posOffset>
                    </wp:positionV>
                    <wp:extent cx="2298700" cy="3937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393700"/>
                            </a:xfrm>
                            <a:prstGeom prst="rect">
                              <a:avLst/>
                            </a:prstGeom>
                            <a:solidFill>
                              <a:srgbClr val="FFFFFF"/>
                            </a:solidFill>
                            <a:ln w="9525">
                              <a:noFill/>
                              <a:miter lim="800000"/>
                              <a:headEnd/>
                              <a:tailEnd/>
                            </a:ln>
                          </wps:spPr>
                          <wps:txbx>
                            <w:txbxContent>
                              <w:p w14:paraId="7577B564" w14:textId="79840854" w:rsidR="00941B92" w:rsidRPr="006A0076" w:rsidRDefault="00941B92">
                                <w:pPr>
                                  <w:rPr>
                                    <w:color w:val="2C2C2C" w:themeColor="text1"/>
                                  </w:rPr>
                                </w:pPr>
                                <w:r w:rsidRPr="006A0076">
                                  <w:rPr>
                                    <w:color w:val="2C2C2C" w:themeColor="text1"/>
                                  </w:rPr>
                                  <w:t xml:space="preserve">Photograph: Solomon Islands/Caritas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BDC06" id="_x0000_t202" coordsize="21600,21600" o:spt="202" path="m,l,21600r21600,l21600,xe">
                    <v:stroke joinstyle="miter"/>
                    <v:path gradientshapeok="t" o:connecttype="rect"/>
                  </v:shapetype>
                  <v:shape id="Text Box 2" o:spid="_x0000_s1026" type="#_x0000_t202" style="position:absolute;left:0;text-align:left;margin-left:378pt;margin-top:529.65pt;width:181pt;height:31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etHwIAAB0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" stroked="f">
                    <v:textbox>
                      <w:txbxContent>
                        <w:p w14:paraId="7577B564" w14:textId="79840854" w:rsidR="00941B92" w:rsidRPr="006A0076" w:rsidRDefault="00941B92">
                          <w:pPr>
                            <w:rPr>
                              <w:color w:val="2C2C2C" w:themeColor="text1"/>
                            </w:rPr>
                          </w:pPr>
                          <w:r w:rsidRPr="006A0076">
                            <w:rPr>
                              <w:color w:val="2C2C2C" w:themeColor="text1"/>
                            </w:rPr>
                            <w:t xml:space="preserve">Photograph: Solomon Islands/Caritas </w:t>
                          </w:r>
                        </w:p>
                      </w:txbxContent>
                    </v:textbox>
                    <w10:wrap type="square" anchorx="page"/>
                  </v:shape>
                </w:pict>
              </mc:Fallback>
            </mc:AlternateContent>
          </w:r>
          <w:r w:rsidR="00E92C54" w:rsidRPr="00A048D6">
            <w:rPr>
              <w:rFonts w:ascii="Calibri" w:hAnsi="Calibri" w:cs="Calibri"/>
              <w:noProof/>
              <w:lang w:val="en-GB" w:eastAsia="en-GB"/>
            </w:rPr>
            <mc:AlternateContent>
              <mc:Choice Requires="wps">
                <w:drawing>
                  <wp:anchor distT="0" distB="0" distL="114300" distR="114300" simplePos="0" relativeHeight="251661312" behindDoc="0" locked="0" layoutInCell="1" allowOverlap="1" wp14:anchorId="57968DF7" wp14:editId="0F770962">
                    <wp:simplePos x="0" y="0"/>
                    <wp:positionH relativeFrom="page">
                      <wp:posOffset>808892</wp:posOffset>
                    </wp:positionH>
                    <wp:positionV relativeFrom="page">
                      <wp:posOffset>8560191</wp:posOffset>
                    </wp:positionV>
                    <wp:extent cx="6337300" cy="469900"/>
                    <wp:effectExtent l="0" t="0" r="6350" b="5080"/>
                    <wp:wrapNone/>
                    <wp:docPr id="32" name="Text Box 32"/>
                    <wp:cNvGraphicFramePr/>
                    <a:graphic xmlns:a="http://schemas.openxmlformats.org/drawingml/2006/main">
                      <a:graphicData uri="http://schemas.microsoft.com/office/word/2010/wordprocessingShape">
                        <wps:wsp>
                          <wps:cNvSpPr txBox="1"/>
                          <wps:spPr>
                            <a:xfrm>
                              <a:off x="0" y="0"/>
                              <a:ext cx="6337300"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F15F6" w14:textId="4EF776F2" w:rsidR="00941B92" w:rsidRPr="006A0076" w:rsidRDefault="0073114B" w:rsidP="003B76F8">
                                <w:pPr>
                                  <w:pStyle w:val="NoSpacing"/>
                                  <w:rPr>
                                    <w:rFonts w:ascii="Calibri" w:hAnsi="Calibri" w:cs="Calibri"/>
                                    <w:color w:val="2C2C2C" w:themeColor="text1"/>
                                    <w:sz w:val="26"/>
                                    <w:szCs w:val="26"/>
                                  </w:rPr>
                                </w:pPr>
                                <w:sdt>
                                  <w:sdtPr>
                                    <w:rPr>
                                      <w:caps/>
                                      <w:color w:val="2C2C2C" w:themeColor="text1"/>
                                      <w:sz w:val="20"/>
                                      <w:szCs w:val="20"/>
                                    </w:rPr>
                                    <w:alias w:val="Author"/>
                                    <w:tag w:val=""/>
                                    <w:id w:val="-994102784"/>
                                    <w:dataBinding w:prefixMappings="xmlns:ns0='http://purl.org/dc/elements/1.1/' xmlns:ns1='http://schemas.openxmlformats.org/package/2006/metadata/core-properties' " w:xpath="/ns1:coreProperties[1]/ns0:creator[1]" w:storeItemID="{6C3C8BC8-F283-45AE-878A-BAB7291924A1}"/>
                                    <w:text/>
                                  </w:sdtPr>
                                  <w:sdtEndPr/>
                                  <w:sdtContent>
                                    <w:r w:rsidR="00941B92" w:rsidRPr="00F462E1">
                                      <w:rPr>
                                        <w:rFonts w:ascii="Calibri" w:hAnsi="Calibri" w:cs="Calibri"/>
                                        <w:color w:val="2C2C2C" w:themeColor="text1"/>
                                        <w:sz w:val="20"/>
                                        <w:szCs w:val="20"/>
                                      </w:rPr>
                                      <w:t>The Australian Humanitarian Partnership is an Australian Government initiative working in partnership with          Australian NGOs.</w:t>
                                    </w:r>
                                  </w:sdtContent>
                                </w:sdt>
                              </w:p>
                              <w:p w14:paraId="44EA5C41" w14:textId="254F54F6" w:rsidR="00941B92" w:rsidRDefault="00941B92">
                                <w:pPr>
                                  <w:pStyle w:val="NoSpacing"/>
                                  <w:rPr>
                                    <w:color w:val="757575"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7968DF7" id="Text Box 32" o:spid="_x0000_s1027" type="#_x0000_t202" style="position:absolute;left:0;text-align:left;margin-left:63.7pt;margin-top:674.05pt;width:499pt;height:3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" filled="f" stroked="f" strokeweight=".5pt">
                    <v:textbox style="mso-fit-shape-to-text:t" inset="0,0,0,0">
                      <w:txbxContent>
                        <w:p w14:paraId="51AF15F6" w14:textId="4EF776F2" w:rsidR="00941B92" w:rsidRPr="006A0076" w:rsidRDefault="00091AE2" w:rsidP="003B76F8">
                          <w:pPr>
                            <w:pStyle w:val="NoSpacing"/>
                            <w:rPr>
                              <w:rFonts w:ascii="Calibri" w:hAnsi="Calibri" w:cs="Calibri"/>
                              <w:color w:val="2C2C2C" w:themeColor="text1"/>
                              <w:sz w:val="26"/>
                              <w:szCs w:val="26"/>
                            </w:rPr>
                          </w:pPr>
                          <w:sdt>
                            <w:sdtPr>
                              <w:rPr>
                                <w:caps/>
                                <w:color w:val="2C2C2C" w:themeColor="text1"/>
                                <w:sz w:val="20"/>
                                <w:szCs w:val="20"/>
                              </w:rPr>
                              <w:alias w:val="Author"/>
                              <w:tag w:val=""/>
                              <w:id w:val="-994102784"/>
                              <w:dataBinding w:prefixMappings="xmlns:ns0='http://purl.org/dc/elements/1.1/' xmlns:ns1='http://schemas.openxmlformats.org/package/2006/metadata/core-properties' " w:xpath="/ns1:coreProperties[1]/ns0:creator[1]" w:storeItemID="{6C3C8BC8-F283-45AE-878A-BAB7291924A1}"/>
                              <w:text/>
                            </w:sdtPr>
                            <w:sdtEndPr/>
                            <w:sdtContent>
                              <w:r w:rsidR="00941B92" w:rsidRPr="00F462E1">
                                <w:rPr>
                                  <w:rFonts w:ascii="Calibri" w:hAnsi="Calibri" w:cs="Calibri"/>
                                  <w:color w:val="2C2C2C" w:themeColor="text1"/>
                                  <w:sz w:val="20"/>
                                  <w:szCs w:val="20"/>
                                </w:rPr>
                                <w:t>The Australian Humanitarian Partnership is an Australian Government initiative working in partnership with          Australian NGOs.</w:t>
                              </w:r>
                            </w:sdtContent>
                          </w:sdt>
                        </w:p>
                        <w:p w14:paraId="44EA5C41" w14:textId="254F54F6" w:rsidR="00941B92" w:rsidRDefault="00941B92">
                          <w:pPr>
                            <w:pStyle w:val="NoSpacing"/>
                            <w:rPr>
                              <w:color w:val="757575" w:themeColor="text1" w:themeTint="A6"/>
                              <w:sz w:val="20"/>
                              <w:szCs w:val="20"/>
                            </w:rPr>
                          </w:pPr>
                        </w:p>
                      </w:txbxContent>
                    </v:textbox>
                    <w10:wrap anchorx="page" anchory="page"/>
                  </v:shape>
                </w:pict>
              </mc:Fallback>
            </mc:AlternateContent>
          </w:r>
          <w:r w:rsidR="00C604EE" w:rsidRPr="00A048D6">
            <w:rPr>
              <w:rFonts w:ascii="Calibri" w:hAnsi="Calibri" w:cs="Calibri"/>
              <w:noProof/>
              <w:lang w:val="en-GB" w:eastAsia="en-GB"/>
            </w:rPr>
            <mc:AlternateContent>
              <mc:Choice Requires="wps">
                <w:drawing>
                  <wp:anchor distT="0" distB="0" distL="114300" distR="114300" simplePos="0" relativeHeight="251660288" behindDoc="0" locked="0" layoutInCell="1" allowOverlap="1" wp14:anchorId="0144B1C0" wp14:editId="75EAD768">
                    <wp:simplePos x="0" y="0"/>
                    <wp:positionH relativeFrom="page">
                      <wp:posOffset>781290</wp:posOffset>
                    </wp:positionH>
                    <wp:positionV relativeFrom="page">
                      <wp:posOffset>1354238</wp:posOffset>
                    </wp:positionV>
                    <wp:extent cx="4832350" cy="1445260"/>
                    <wp:effectExtent l="0" t="0" r="6350" b="4445"/>
                    <wp:wrapNone/>
                    <wp:docPr id="11" name="Text Box 11"/>
                    <wp:cNvGraphicFramePr/>
                    <a:graphic xmlns:a="http://schemas.openxmlformats.org/drawingml/2006/main">
                      <a:graphicData uri="http://schemas.microsoft.com/office/word/2010/wordprocessingShape">
                        <wps:wsp>
                          <wps:cNvSpPr txBox="1"/>
                          <wps:spPr>
                            <a:xfrm>
                              <a:off x="0" y="0"/>
                              <a:ext cx="4832350" cy="1445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84596" w14:textId="1FCB2281" w:rsidR="00941B92" w:rsidRPr="006A0076" w:rsidRDefault="0073114B" w:rsidP="006A0076">
                                <w:pPr>
                                  <w:pStyle w:val="NoSpacing"/>
                                  <w:rPr>
                                    <w:color w:val="0673A5" w:themeColor="text2" w:themeShade="BF"/>
                                    <w:sz w:val="32"/>
                                    <w:szCs w:val="32"/>
                                  </w:rPr>
                                </w:pPr>
                                <w:sdt>
                                  <w:sdtPr>
                                    <w:rPr>
                                      <w:rFonts w:eastAsiaTheme="majorEastAsia"/>
                                      <w:b/>
                                      <w:color w:val="0673A5" w:themeColor="text2" w:themeShade="BF"/>
                                      <w:sz w:val="72"/>
                                      <w:szCs w:val="72"/>
                                    </w:rPr>
                                    <w:alias w:val="Title"/>
                                    <w:tag w:val=""/>
                                    <w:id w:val="1905253603"/>
                                    <w:dataBinding w:prefixMappings="xmlns:ns0='http://purl.org/dc/elements/1.1/' xmlns:ns1='http://schemas.openxmlformats.org/package/2006/metadata/core-properties' " w:xpath="/ns1:coreProperties[1]/ns0:title[1]" w:storeItemID="{6C3C8BC8-F283-45AE-878A-BAB7291924A1}"/>
                                    <w:text/>
                                  </w:sdtPr>
                                  <w:sdtEndPr/>
                                  <w:sdtContent>
                                    <w:r w:rsidR="00941B92" w:rsidRPr="006A0076">
                                      <w:rPr>
                                        <w:rFonts w:eastAsiaTheme="majorEastAsia"/>
                                        <w:b/>
                                        <w:color w:val="0673A5" w:themeColor="text2" w:themeShade="BF"/>
                                        <w:sz w:val="72"/>
                                        <w:szCs w:val="72"/>
                                      </w:rPr>
                                      <w:t>Disaster READY</w:t>
                                    </w:r>
                                  </w:sdtContent>
                                </w:sdt>
                                <w:r w:rsidR="00941B92" w:rsidRPr="006A0076">
                                  <w:rPr>
                                    <w:rFonts w:ascii="Calibri" w:hAnsi="Calibri" w:cs="Calibri"/>
                                    <w:color w:val="0673A5" w:themeColor="text2" w:themeShade="BF"/>
                                    <w:sz w:val="36"/>
                                    <w:szCs w:val="36"/>
                                  </w:rPr>
                                  <w:br/>
                                </w:r>
                                <w:sdt>
                                  <w:sdtPr>
                                    <w:rPr>
                                      <w:rFonts w:ascii="Calibri" w:hAnsi="Calibri" w:cs="Calibri"/>
                                      <w:color w:val="2C2C2C" w:themeColor="text1"/>
                                      <w:sz w:val="32"/>
                                      <w:szCs w:val="32"/>
                                    </w:rPr>
                                    <w:alias w:val="Subtitle"/>
                                    <w:tag w:val=""/>
                                    <w:id w:val="1310137912"/>
                                    <w:dataBinding w:prefixMappings="xmlns:ns0='http://purl.org/dc/elements/1.1/' xmlns:ns1='http://schemas.openxmlformats.org/package/2006/metadata/core-properties' " w:xpath="/ns1:coreProperties[1]/ns0:subject[1]" w:storeItemID="{6C3C8BC8-F283-45AE-878A-BAB7291924A1}"/>
                                    <w:text/>
                                  </w:sdtPr>
                                  <w:sdtEndPr/>
                                  <w:sdtContent>
                                    <w:r w:rsidR="00941B92" w:rsidRPr="006A0076">
                                      <w:rPr>
                                        <w:rFonts w:ascii="Calibri" w:hAnsi="Calibri" w:cs="Calibri"/>
                                        <w:color w:val="2C2C2C" w:themeColor="text1"/>
                                        <w:sz w:val="32"/>
                                        <w:szCs w:val="32"/>
                                      </w:rPr>
                                      <w:t>The Australian Humanitarian Partnership (AHP)</w:t>
                                    </w:r>
                                  </w:sdtContent>
                                </w:sdt>
                                <w:r w:rsidR="00941B92" w:rsidRPr="006A0076">
                                  <w:rPr>
                                    <w:rFonts w:ascii="Calibri" w:hAnsi="Calibri" w:cs="Calibri"/>
                                    <w:color w:val="2C2C2C" w:themeColor="text1"/>
                                    <w:sz w:val="32"/>
                                    <w:szCs w:val="32"/>
                                  </w:rPr>
                                  <w:br/>
                                  <w:t>19 December 2017</w:t>
                                </w:r>
                              </w:p>
                              <w:p w14:paraId="21FE18CB" w14:textId="77777777" w:rsidR="00941B92" w:rsidRDefault="00941B9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0144B1C0" id="Text Box 11" o:spid="_x0000_s1028" type="#_x0000_t202" style="position:absolute;left:0;text-align:left;margin-left:61.5pt;margin-top:106.65pt;width:380.5pt;height:1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" filled="f" stroked="f" strokeweight=".5pt">
                    <v:textbox style="mso-fit-shape-to-text:t" inset="0,0,0,0">
                      <w:txbxContent>
                        <w:p w14:paraId="10584596" w14:textId="1FCB2281" w:rsidR="00941B92" w:rsidRPr="006A0076" w:rsidRDefault="00091AE2" w:rsidP="006A0076">
                          <w:pPr>
                            <w:pStyle w:val="NoSpacing"/>
                            <w:rPr>
                              <w:color w:val="0673A5" w:themeColor="text2" w:themeShade="BF"/>
                              <w:sz w:val="32"/>
                              <w:szCs w:val="32"/>
                            </w:rPr>
                          </w:pPr>
                          <w:sdt>
                            <w:sdtPr>
                              <w:rPr>
                                <w:rFonts w:eastAsiaTheme="majorEastAsia"/>
                                <w:b/>
                                <w:color w:val="0673A5" w:themeColor="text2" w:themeShade="BF"/>
                                <w:sz w:val="72"/>
                                <w:szCs w:val="72"/>
                              </w:rPr>
                              <w:alias w:val="Title"/>
                              <w:tag w:val=""/>
                              <w:id w:val="1905253603"/>
                              <w:dataBinding w:prefixMappings="xmlns:ns0='http://purl.org/dc/elements/1.1/' xmlns:ns1='http://schemas.openxmlformats.org/package/2006/metadata/core-properties' " w:xpath="/ns1:coreProperties[1]/ns0:title[1]" w:storeItemID="{6C3C8BC8-F283-45AE-878A-BAB7291924A1}"/>
                              <w:text/>
                            </w:sdtPr>
                            <w:sdtEndPr/>
                            <w:sdtContent>
                              <w:r w:rsidR="00941B92" w:rsidRPr="006A0076">
                                <w:rPr>
                                  <w:rFonts w:eastAsiaTheme="majorEastAsia"/>
                                  <w:b/>
                                  <w:color w:val="0673A5" w:themeColor="text2" w:themeShade="BF"/>
                                  <w:sz w:val="72"/>
                                  <w:szCs w:val="72"/>
                                </w:rPr>
                                <w:t>Disaster READY</w:t>
                              </w:r>
                            </w:sdtContent>
                          </w:sdt>
                          <w:r w:rsidR="00941B92" w:rsidRPr="006A0076">
                            <w:rPr>
                              <w:rFonts w:ascii="Calibri" w:hAnsi="Calibri" w:cs="Calibri"/>
                              <w:color w:val="0673A5" w:themeColor="text2" w:themeShade="BF"/>
                              <w:sz w:val="36"/>
                              <w:szCs w:val="36"/>
                            </w:rPr>
                            <w:br/>
                          </w:r>
                          <w:sdt>
                            <w:sdtPr>
                              <w:rPr>
                                <w:rFonts w:ascii="Calibri" w:hAnsi="Calibri" w:cs="Calibri"/>
                                <w:color w:val="2C2C2C" w:themeColor="text1"/>
                                <w:sz w:val="32"/>
                                <w:szCs w:val="32"/>
                              </w:rPr>
                              <w:alias w:val="Subtitle"/>
                              <w:tag w:val=""/>
                              <w:id w:val="1310137912"/>
                              <w:dataBinding w:prefixMappings="xmlns:ns0='http://purl.org/dc/elements/1.1/' xmlns:ns1='http://schemas.openxmlformats.org/package/2006/metadata/core-properties' " w:xpath="/ns1:coreProperties[1]/ns0:subject[1]" w:storeItemID="{6C3C8BC8-F283-45AE-878A-BAB7291924A1}"/>
                              <w:text/>
                            </w:sdtPr>
                            <w:sdtEndPr/>
                            <w:sdtContent>
                              <w:r w:rsidR="00941B92" w:rsidRPr="006A0076">
                                <w:rPr>
                                  <w:rFonts w:ascii="Calibri" w:hAnsi="Calibri" w:cs="Calibri"/>
                                  <w:color w:val="2C2C2C" w:themeColor="text1"/>
                                  <w:sz w:val="32"/>
                                  <w:szCs w:val="32"/>
                                </w:rPr>
                                <w:t>The Australian Humanitarian Partnership (AHP)</w:t>
                              </w:r>
                            </w:sdtContent>
                          </w:sdt>
                          <w:r w:rsidR="00941B92" w:rsidRPr="006A0076">
                            <w:rPr>
                              <w:rFonts w:ascii="Calibri" w:hAnsi="Calibri" w:cs="Calibri"/>
                              <w:color w:val="2C2C2C" w:themeColor="text1"/>
                              <w:sz w:val="32"/>
                              <w:szCs w:val="32"/>
                            </w:rPr>
                            <w:br/>
                            <w:t>19 December 2017</w:t>
                          </w:r>
                        </w:p>
                        <w:p w14:paraId="21FE18CB" w14:textId="77777777" w:rsidR="00941B92" w:rsidRDefault="00941B92"/>
                      </w:txbxContent>
                    </v:textbox>
                    <w10:wrap anchorx="page" anchory="page"/>
                  </v:shape>
                </w:pict>
              </mc:Fallback>
            </mc:AlternateContent>
          </w:r>
          <w:r w:rsidR="00C604EE" w:rsidRPr="00A048D6">
            <w:rPr>
              <w:rFonts w:ascii="Calibri" w:hAnsi="Calibri" w:cs="Calibri"/>
              <w:noProof/>
              <w:lang w:val="en-GB" w:eastAsia="en-GB"/>
            </w:rPr>
            <w:drawing>
              <wp:anchor distT="0" distB="0" distL="114300" distR="114300" simplePos="0" relativeHeight="251662336" behindDoc="1" locked="0" layoutInCell="1" allowOverlap="1" wp14:anchorId="2070CE3B" wp14:editId="68EB8614">
                <wp:simplePos x="0" y="0"/>
                <wp:positionH relativeFrom="column">
                  <wp:posOffset>-157317</wp:posOffset>
                </wp:positionH>
                <wp:positionV relativeFrom="paragraph">
                  <wp:posOffset>2499360</wp:posOffset>
                </wp:positionV>
                <wp:extent cx="6337300" cy="4224655"/>
                <wp:effectExtent l="0" t="0" r="6350" b="4445"/>
                <wp:wrapTight wrapText="bothSides">
                  <wp:wrapPolygon edited="0">
                    <wp:start x="0" y="0"/>
                    <wp:lineTo x="0" y="21525"/>
                    <wp:lineTo x="21557" y="21525"/>
                    <wp:lineTo x="2155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olomon_april_2013_026.jpg"/>
                        <pic:cNvPicPr/>
                      </pic:nvPicPr>
                      <pic:blipFill>
                        <a:blip r:embed="rId12">
                          <a:extLst>
                            <a:ext uri="{28A0092B-C50C-407E-A947-70E740481C1C}">
                              <a14:useLocalDpi xmlns:a14="http://schemas.microsoft.com/office/drawing/2010/main" val="0"/>
                            </a:ext>
                          </a:extLst>
                        </a:blip>
                        <a:stretch>
                          <a:fillRect/>
                        </a:stretch>
                      </pic:blipFill>
                      <pic:spPr>
                        <a:xfrm>
                          <a:off x="0" y="0"/>
                          <a:ext cx="6337300" cy="4224655"/>
                        </a:xfrm>
                        <a:prstGeom prst="rect">
                          <a:avLst/>
                        </a:prstGeom>
                      </pic:spPr>
                    </pic:pic>
                  </a:graphicData>
                </a:graphic>
                <wp14:sizeRelH relativeFrom="margin">
                  <wp14:pctWidth>0</wp14:pctWidth>
                </wp14:sizeRelH>
                <wp14:sizeRelV relativeFrom="margin">
                  <wp14:pctHeight>0</wp14:pctHeight>
                </wp14:sizeRelV>
              </wp:anchor>
            </w:drawing>
          </w:r>
          <w:r w:rsidR="003B76F8" w:rsidRPr="00394C86">
            <w:rPr>
              <w:rFonts w:ascii="Calibri" w:hAnsi="Calibri" w:cs="Calibri"/>
              <w:lang w:val="en-AU"/>
            </w:rPr>
            <w:br w:type="page"/>
          </w:r>
        </w:p>
      </w:sdtContent>
    </w:sdt>
    <w:p w14:paraId="16F653A8" w14:textId="77777777" w:rsidR="009F49D3" w:rsidRDefault="00C604EE" w:rsidP="00110706">
      <w:pPr>
        <w:pStyle w:val="Title"/>
        <w:rPr>
          <w:rFonts w:ascii="Calibri" w:hAnsi="Calibri" w:cs="Calibri"/>
          <w:lang w:val="en-AU"/>
        </w:rPr>
      </w:pPr>
      <w:r w:rsidRPr="00394C86">
        <w:rPr>
          <w:rFonts w:ascii="Calibri" w:hAnsi="Calibri" w:cs="Calibri"/>
          <w:lang w:val="en-AU"/>
        </w:rPr>
        <w:lastRenderedPageBreak/>
        <w:t xml:space="preserve">ahp Disaster ready </w:t>
      </w:r>
    </w:p>
    <w:p w14:paraId="5EC320C7" w14:textId="02F41838" w:rsidR="00BE46E6" w:rsidRPr="00394C86" w:rsidRDefault="004736E1" w:rsidP="00110706">
      <w:pPr>
        <w:pStyle w:val="Title"/>
        <w:rPr>
          <w:rFonts w:ascii="Calibri" w:hAnsi="Calibri" w:cs="Calibri"/>
          <w:lang w:val="en-AU"/>
        </w:rPr>
      </w:pPr>
      <w:r w:rsidRPr="00394C86">
        <w:rPr>
          <w:rFonts w:ascii="Calibri" w:hAnsi="Calibri" w:cs="Calibri"/>
          <w:lang w:val="en-AU"/>
        </w:rPr>
        <w:t xml:space="preserve">Overarching Framework </w:t>
      </w:r>
    </w:p>
    <w:p w14:paraId="1145D28E" w14:textId="4AF58EF3" w:rsidR="00BE46E6" w:rsidRPr="00394C86" w:rsidRDefault="00BE46E6" w:rsidP="00566B8C">
      <w:pPr>
        <w:pStyle w:val="Heading6"/>
        <w:rPr>
          <w:rFonts w:ascii="Calibri" w:hAnsi="Calibri" w:cs="Calibri"/>
          <w:lang w:val="en-AU"/>
        </w:rPr>
      </w:pPr>
      <w:r w:rsidRPr="00394C86">
        <w:rPr>
          <w:rFonts w:ascii="Calibri" w:hAnsi="Calibri" w:cs="Calibri"/>
          <w:lang w:val="en-AU"/>
        </w:rPr>
        <w:t>Table of Contents</w:t>
      </w:r>
    </w:p>
    <w:p w14:paraId="6D9057EF" w14:textId="367262EE" w:rsidR="001249F6" w:rsidRDefault="00BE46E6">
      <w:pPr>
        <w:pStyle w:val="TOC1"/>
        <w:rPr>
          <w:rFonts w:asciiTheme="minorHAnsi" w:hAnsiTheme="minorHAnsi" w:cstheme="minorBidi"/>
          <w:noProof/>
          <w:lang w:val="en-AU" w:eastAsia="en-AU"/>
        </w:rPr>
      </w:pPr>
      <w:r w:rsidRPr="00A048D6">
        <w:rPr>
          <w:sz w:val="20"/>
          <w:lang w:val="en-AU"/>
        </w:rPr>
        <w:fldChar w:fldCharType="begin"/>
      </w:r>
      <w:r w:rsidRPr="00394C86">
        <w:rPr>
          <w:sz w:val="20"/>
          <w:lang w:val="en-AU"/>
        </w:rPr>
        <w:instrText xml:space="preserve"> TOC \o "1-3" \h \z </w:instrText>
      </w:r>
      <w:r w:rsidRPr="00A048D6">
        <w:rPr>
          <w:sz w:val="20"/>
          <w:lang w:val="en-AU"/>
        </w:rPr>
        <w:fldChar w:fldCharType="separate"/>
      </w:r>
      <w:hyperlink w:anchor="_Toc501451653" w:history="1">
        <w:r w:rsidR="001249F6" w:rsidRPr="00B91A78">
          <w:rPr>
            <w:rStyle w:val="Hyperlink"/>
            <w:noProof/>
            <w:lang w:val="en-AU"/>
          </w:rPr>
          <w:t>Acronyms</w:t>
        </w:r>
        <w:r w:rsidR="001249F6">
          <w:rPr>
            <w:noProof/>
            <w:webHidden/>
          </w:rPr>
          <w:tab/>
        </w:r>
        <w:r w:rsidR="001249F6">
          <w:rPr>
            <w:noProof/>
            <w:webHidden/>
          </w:rPr>
          <w:fldChar w:fldCharType="begin"/>
        </w:r>
        <w:r w:rsidR="001249F6">
          <w:rPr>
            <w:noProof/>
            <w:webHidden/>
          </w:rPr>
          <w:instrText xml:space="preserve"> PAGEREF _Toc501451653 \h </w:instrText>
        </w:r>
        <w:r w:rsidR="001249F6">
          <w:rPr>
            <w:noProof/>
            <w:webHidden/>
          </w:rPr>
        </w:r>
        <w:r w:rsidR="001249F6">
          <w:rPr>
            <w:noProof/>
            <w:webHidden/>
          </w:rPr>
          <w:fldChar w:fldCharType="separate"/>
        </w:r>
        <w:r w:rsidR="001249F6">
          <w:rPr>
            <w:noProof/>
            <w:webHidden/>
          </w:rPr>
          <w:t>4</w:t>
        </w:r>
        <w:r w:rsidR="001249F6">
          <w:rPr>
            <w:noProof/>
            <w:webHidden/>
          </w:rPr>
          <w:fldChar w:fldCharType="end"/>
        </w:r>
      </w:hyperlink>
    </w:p>
    <w:p w14:paraId="558A6A9A" w14:textId="39D7FE15" w:rsidR="001249F6" w:rsidRDefault="0073114B">
      <w:pPr>
        <w:pStyle w:val="TOC1"/>
        <w:rPr>
          <w:rFonts w:asciiTheme="minorHAnsi" w:hAnsiTheme="minorHAnsi" w:cstheme="minorBidi"/>
          <w:noProof/>
          <w:lang w:val="en-AU" w:eastAsia="en-AU"/>
        </w:rPr>
      </w:pPr>
      <w:hyperlink w:anchor="_Toc501451654" w:history="1">
        <w:r w:rsidR="001249F6" w:rsidRPr="00B91A78">
          <w:rPr>
            <w:rStyle w:val="Hyperlink"/>
            <w:noProof/>
            <w:lang w:val="en-AU"/>
          </w:rPr>
          <w:t>Glossary</w:t>
        </w:r>
        <w:r w:rsidR="001249F6">
          <w:rPr>
            <w:noProof/>
            <w:webHidden/>
          </w:rPr>
          <w:tab/>
        </w:r>
        <w:r w:rsidR="001249F6">
          <w:rPr>
            <w:noProof/>
            <w:webHidden/>
          </w:rPr>
          <w:fldChar w:fldCharType="begin"/>
        </w:r>
        <w:r w:rsidR="001249F6">
          <w:rPr>
            <w:noProof/>
            <w:webHidden/>
          </w:rPr>
          <w:instrText xml:space="preserve"> PAGEREF _Toc501451654 \h </w:instrText>
        </w:r>
        <w:r w:rsidR="001249F6">
          <w:rPr>
            <w:noProof/>
            <w:webHidden/>
          </w:rPr>
        </w:r>
        <w:r w:rsidR="001249F6">
          <w:rPr>
            <w:noProof/>
            <w:webHidden/>
          </w:rPr>
          <w:fldChar w:fldCharType="separate"/>
        </w:r>
        <w:r w:rsidR="001249F6">
          <w:rPr>
            <w:noProof/>
            <w:webHidden/>
          </w:rPr>
          <w:t>5</w:t>
        </w:r>
        <w:r w:rsidR="001249F6">
          <w:rPr>
            <w:noProof/>
            <w:webHidden/>
          </w:rPr>
          <w:fldChar w:fldCharType="end"/>
        </w:r>
      </w:hyperlink>
    </w:p>
    <w:p w14:paraId="3A287CAC" w14:textId="7D0AB61F" w:rsidR="001249F6" w:rsidRDefault="0073114B">
      <w:pPr>
        <w:pStyle w:val="TOC1"/>
        <w:rPr>
          <w:rFonts w:asciiTheme="minorHAnsi" w:hAnsiTheme="minorHAnsi" w:cstheme="minorBidi"/>
          <w:noProof/>
          <w:lang w:val="en-AU" w:eastAsia="en-AU"/>
        </w:rPr>
      </w:pPr>
      <w:hyperlink w:anchor="_Toc501451655" w:history="1">
        <w:r w:rsidR="001249F6" w:rsidRPr="00B91A78">
          <w:rPr>
            <w:rStyle w:val="Hyperlink"/>
            <w:noProof/>
            <w:lang w:val="en-AU"/>
          </w:rPr>
          <w:t>AHP Disaster Ready OveRarching Framework</w:t>
        </w:r>
        <w:r w:rsidR="001249F6">
          <w:rPr>
            <w:noProof/>
            <w:webHidden/>
          </w:rPr>
          <w:tab/>
        </w:r>
        <w:r w:rsidR="001249F6">
          <w:rPr>
            <w:noProof/>
            <w:webHidden/>
          </w:rPr>
          <w:fldChar w:fldCharType="begin"/>
        </w:r>
        <w:r w:rsidR="001249F6">
          <w:rPr>
            <w:noProof/>
            <w:webHidden/>
          </w:rPr>
          <w:instrText xml:space="preserve"> PAGEREF _Toc501451655 \h </w:instrText>
        </w:r>
        <w:r w:rsidR="001249F6">
          <w:rPr>
            <w:noProof/>
            <w:webHidden/>
          </w:rPr>
        </w:r>
        <w:r w:rsidR="001249F6">
          <w:rPr>
            <w:noProof/>
            <w:webHidden/>
          </w:rPr>
          <w:fldChar w:fldCharType="separate"/>
        </w:r>
        <w:r w:rsidR="001249F6">
          <w:rPr>
            <w:noProof/>
            <w:webHidden/>
          </w:rPr>
          <w:t>6</w:t>
        </w:r>
        <w:r w:rsidR="001249F6">
          <w:rPr>
            <w:noProof/>
            <w:webHidden/>
          </w:rPr>
          <w:fldChar w:fldCharType="end"/>
        </w:r>
      </w:hyperlink>
    </w:p>
    <w:p w14:paraId="3E43AD73" w14:textId="182BA1F4" w:rsidR="001249F6" w:rsidRDefault="0073114B">
      <w:pPr>
        <w:pStyle w:val="TOC1"/>
        <w:rPr>
          <w:rFonts w:asciiTheme="minorHAnsi" w:hAnsiTheme="minorHAnsi" w:cstheme="minorBidi"/>
          <w:noProof/>
          <w:lang w:val="en-AU" w:eastAsia="en-AU"/>
        </w:rPr>
      </w:pPr>
      <w:hyperlink w:anchor="_Toc501451656" w:history="1">
        <w:r w:rsidR="001249F6" w:rsidRPr="00B91A78">
          <w:rPr>
            <w:rStyle w:val="Hyperlink"/>
            <w:noProof/>
            <w:lang w:val="en-AU"/>
          </w:rPr>
          <w:t>Executive Summary</w:t>
        </w:r>
        <w:r w:rsidR="001249F6">
          <w:rPr>
            <w:noProof/>
            <w:webHidden/>
          </w:rPr>
          <w:tab/>
        </w:r>
        <w:r w:rsidR="001249F6">
          <w:rPr>
            <w:noProof/>
            <w:webHidden/>
          </w:rPr>
          <w:fldChar w:fldCharType="begin"/>
        </w:r>
        <w:r w:rsidR="001249F6">
          <w:rPr>
            <w:noProof/>
            <w:webHidden/>
          </w:rPr>
          <w:instrText xml:space="preserve"> PAGEREF _Toc501451656 \h </w:instrText>
        </w:r>
        <w:r w:rsidR="001249F6">
          <w:rPr>
            <w:noProof/>
            <w:webHidden/>
          </w:rPr>
        </w:r>
        <w:r w:rsidR="001249F6">
          <w:rPr>
            <w:noProof/>
            <w:webHidden/>
          </w:rPr>
          <w:fldChar w:fldCharType="separate"/>
        </w:r>
        <w:r w:rsidR="001249F6">
          <w:rPr>
            <w:noProof/>
            <w:webHidden/>
          </w:rPr>
          <w:t>7</w:t>
        </w:r>
        <w:r w:rsidR="001249F6">
          <w:rPr>
            <w:noProof/>
            <w:webHidden/>
          </w:rPr>
          <w:fldChar w:fldCharType="end"/>
        </w:r>
      </w:hyperlink>
    </w:p>
    <w:p w14:paraId="4561DBE2" w14:textId="7E0C60AC" w:rsidR="001249F6" w:rsidRDefault="0073114B">
      <w:pPr>
        <w:pStyle w:val="TOC1"/>
        <w:rPr>
          <w:rFonts w:asciiTheme="minorHAnsi" w:hAnsiTheme="minorHAnsi" w:cstheme="minorBidi"/>
          <w:noProof/>
          <w:lang w:val="en-AU" w:eastAsia="en-AU"/>
        </w:rPr>
      </w:pPr>
      <w:hyperlink w:anchor="_Toc501451657" w:history="1">
        <w:r w:rsidR="001249F6" w:rsidRPr="00B91A78">
          <w:rPr>
            <w:rStyle w:val="Hyperlink"/>
            <w:noProof/>
            <w:lang w:val="en-AU"/>
          </w:rPr>
          <w:t>Innovations in disaster ready</w:t>
        </w:r>
        <w:r w:rsidR="001249F6">
          <w:rPr>
            <w:noProof/>
            <w:webHidden/>
          </w:rPr>
          <w:tab/>
        </w:r>
        <w:r w:rsidR="001249F6">
          <w:rPr>
            <w:noProof/>
            <w:webHidden/>
          </w:rPr>
          <w:fldChar w:fldCharType="begin"/>
        </w:r>
        <w:r w:rsidR="001249F6">
          <w:rPr>
            <w:noProof/>
            <w:webHidden/>
          </w:rPr>
          <w:instrText xml:space="preserve"> PAGEREF _Toc501451657 \h </w:instrText>
        </w:r>
        <w:r w:rsidR="001249F6">
          <w:rPr>
            <w:noProof/>
            <w:webHidden/>
          </w:rPr>
        </w:r>
        <w:r w:rsidR="001249F6">
          <w:rPr>
            <w:noProof/>
            <w:webHidden/>
          </w:rPr>
          <w:fldChar w:fldCharType="separate"/>
        </w:r>
        <w:r w:rsidR="001249F6">
          <w:rPr>
            <w:noProof/>
            <w:webHidden/>
          </w:rPr>
          <w:t>11</w:t>
        </w:r>
        <w:r w:rsidR="001249F6">
          <w:rPr>
            <w:noProof/>
            <w:webHidden/>
          </w:rPr>
          <w:fldChar w:fldCharType="end"/>
        </w:r>
      </w:hyperlink>
    </w:p>
    <w:p w14:paraId="563D5567" w14:textId="019303D7" w:rsidR="001249F6" w:rsidRDefault="0073114B">
      <w:pPr>
        <w:pStyle w:val="TOC1"/>
        <w:rPr>
          <w:rFonts w:asciiTheme="minorHAnsi" w:hAnsiTheme="minorHAnsi" w:cstheme="minorBidi"/>
          <w:noProof/>
          <w:lang w:val="en-AU" w:eastAsia="en-AU"/>
        </w:rPr>
      </w:pPr>
      <w:hyperlink w:anchor="_Toc501451658" w:history="1">
        <w:r w:rsidR="001249F6" w:rsidRPr="00B91A78">
          <w:rPr>
            <w:rStyle w:val="Hyperlink"/>
            <w:noProof/>
            <w:lang w:val="en-AU"/>
          </w:rPr>
          <w:t>Analysis and Strategic Context</w:t>
        </w:r>
        <w:r w:rsidR="001249F6">
          <w:rPr>
            <w:noProof/>
            <w:webHidden/>
          </w:rPr>
          <w:tab/>
        </w:r>
        <w:r w:rsidR="001249F6">
          <w:rPr>
            <w:noProof/>
            <w:webHidden/>
          </w:rPr>
          <w:fldChar w:fldCharType="begin"/>
        </w:r>
        <w:r w:rsidR="001249F6">
          <w:rPr>
            <w:noProof/>
            <w:webHidden/>
          </w:rPr>
          <w:instrText xml:space="preserve"> PAGEREF _Toc501451658 \h </w:instrText>
        </w:r>
        <w:r w:rsidR="001249F6">
          <w:rPr>
            <w:noProof/>
            <w:webHidden/>
          </w:rPr>
        </w:r>
        <w:r w:rsidR="001249F6">
          <w:rPr>
            <w:noProof/>
            <w:webHidden/>
          </w:rPr>
          <w:fldChar w:fldCharType="separate"/>
        </w:r>
        <w:r w:rsidR="001249F6">
          <w:rPr>
            <w:noProof/>
            <w:webHidden/>
          </w:rPr>
          <w:t>13</w:t>
        </w:r>
        <w:r w:rsidR="001249F6">
          <w:rPr>
            <w:noProof/>
            <w:webHidden/>
          </w:rPr>
          <w:fldChar w:fldCharType="end"/>
        </w:r>
      </w:hyperlink>
    </w:p>
    <w:p w14:paraId="0A022444" w14:textId="3FB4150C" w:rsidR="001249F6" w:rsidRDefault="0073114B">
      <w:pPr>
        <w:pStyle w:val="TOC2"/>
        <w:rPr>
          <w:rFonts w:asciiTheme="minorHAnsi" w:hAnsiTheme="minorHAnsi" w:cstheme="minorBidi"/>
          <w:noProof/>
          <w:lang w:val="en-AU" w:eastAsia="en-AU"/>
        </w:rPr>
      </w:pPr>
      <w:hyperlink w:anchor="_Toc501451659" w:history="1">
        <w:r w:rsidR="001249F6" w:rsidRPr="00B91A78">
          <w:rPr>
            <w:rStyle w:val="Hyperlink"/>
            <w:noProof/>
            <w:lang w:val="en-AU"/>
          </w:rPr>
          <w:t>Development Problem and Issue Analysis</w:t>
        </w:r>
        <w:r w:rsidR="001249F6">
          <w:rPr>
            <w:noProof/>
            <w:webHidden/>
          </w:rPr>
          <w:tab/>
        </w:r>
        <w:r w:rsidR="001249F6">
          <w:rPr>
            <w:noProof/>
            <w:webHidden/>
          </w:rPr>
          <w:fldChar w:fldCharType="begin"/>
        </w:r>
        <w:r w:rsidR="001249F6">
          <w:rPr>
            <w:noProof/>
            <w:webHidden/>
          </w:rPr>
          <w:instrText xml:space="preserve"> PAGEREF _Toc501451659 \h </w:instrText>
        </w:r>
        <w:r w:rsidR="001249F6">
          <w:rPr>
            <w:noProof/>
            <w:webHidden/>
          </w:rPr>
        </w:r>
        <w:r w:rsidR="001249F6">
          <w:rPr>
            <w:noProof/>
            <w:webHidden/>
          </w:rPr>
          <w:fldChar w:fldCharType="separate"/>
        </w:r>
        <w:r w:rsidR="001249F6">
          <w:rPr>
            <w:noProof/>
            <w:webHidden/>
          </w:rPr>
          <w:t>16</w:t>
        </w:r>
        <w:r w:rsidR="001249F6">
          <w:rPr>
            <w:noProof/>
            <w:webHidden/>
          </w:rPr>
          <w:fldChar w:fldCharType="end"/>
        </w:r>
      </w:hyperlink>
    </w:p>
    <w:p w14:paraId="0F3601FF" w14:textId="3A7B18FA" w:rsidR="001249F6" w:rsidRDefault="0073114B">
      <w:pPr>
        <w:pStyle w:val="TOC2"/>
        <w:rPr>
          <w:rFonts w:asciiTheme="minorHAnsi" w:hAnsiTheme="minorHAnsi" w:cstheme="minorBidi"/>
          <w:noProof/>
          <w:lang w:val="en-AU" w:eastAsia="en-AU"/>
        </w:rPr>
      </w:pPr>
      <w:hyperlink w:anchor="_Toc501451660" w:history="1">
        <w:r w:rsidR="001249F6" w:rsidRPr="00B91A78">
          <w:rPr>
            <w:rStyle w:val="Hyperlink"/>
            <w:noProof/>
            <w:lang w:val="en-AU"/>
          </w:rPr>
          <w:t>Evidence Base and Lessons</w:t>
        </w:r>
        <w:r w:rsidR="001249F6">
          <w:rPr>
            <w:noProof/>
            <w:webHidden/>
          </w:rPr>
          <w:tab/>
        </w:r>
        <w:r w:rsidR="001249F6">
          <w:rPr>
            <w:noProof/>
            <w:webHidden/>
          </w:rPr>
          <w:fldChar w:fldCharType="begin"/>
        </w:r>
        <w:r w:rsidR="001249F6">
          <w:rPr>
            <w:noProof/>
            <w:webHidden/>
          </w:rPr>
          <w:instrText xml:space="preserve"> PAGEREF _Toc501451660 \h </w:instrText>
        </w:r>
        <w:r w:rsidR="001249F6">
          <w:rPr>
            <w:noProof/>
            <w:webHidden/>
          </w:rPr>
        </w:r>
        <w:r w:rsidR="001249F6">
          <w:rPr>
            <w:noProof/>
            <w:webHidden/>
          </w:rPr>
          <w:fldChar w:fldCharType="separate"/>
        </w:r>
        <w:r w:rsidR="001249F6">
          <w:rPr>
            <w:noProof/>
            <w:webHidden/>
          </w:rPr>
          <w:t>17</w:t>
        </w:r>
        <w:r w:rsidR="001249F6">
          <w:rPr>
            <w:noProof/>
            <w:webHidden/>
          </w:rPr>
          <w:fldChar w:fldCharType="end"/>
        </w:r>
      </w:hyperlink>
    </w:p>
    <w:p w14:paraId="25F75D71" w14:textId="4340B04F" w:rsidR="001249F6" w:rsidRDefault="0073114B">
      <w:pPr>
        <w:pStyle w:val="TOC2"/>
        <w:rPr>
          <w:rFonts w:asciiTheme="minorHAnsi" w:hAnsiTheme="minorHAnsi" w:cstheme="minorBidi"/>
          <w:noProof/>
          <w:lang w:val="en-AU" w:eastAsia="en-AU"/>
        </w:rPr>
      </w:pPr>
      <w:hyperlink w:anchor="_Toc501451661" w:history="1">
        <w:r w:rsidR="001249F6" w:rsidRPr="00B91A78">
          <w:rPr>
            <w:rStyle w:val="Hyperlink"/>
            <w:noProof/>
            <w:lang w:val="en-AU"/>
          </w:rPr>
          <w:t>Rationale for Australian DFAT Engagement</w:t>
        </w:r>
        <w:r w:rsidR="001249F6">
          <w:rPr>
            <w:noProof/>
            <w:webHidden/>
          </w:rPr>
          <w:tab/>
        </w:r>
        <w:r w:rsidR="001249F6">
          <w:rPr>
            <w:noProof/>
            <w:webHidden/>
          </w:rPr>
          <w:fldChar w:fldCharType="begin"/>
        </w:r>
        <w:r w:rsidR="001249F6">
          <w:rPr>
            <w:noProof/>
            <w:webHidden/>
          </w:rPr>
          <w:instrText xml:space="preserve"> PAGEREF _Toc501451661 \h </w:instrText>
        </w:r>
        <w:r w:rsidR="001249F6">
          <w:rPr>
            <w:noProof/>
            <w:webHidden/>
          </w:rPr>
        </w:r>
        <w:r w:rsidR="001249F6">
          <w:rPr>
            <w:noProof/>
            <w:webHidden/>
          </w:rPr>
          <w:fldChar w:fldCharType="separate"/>
        </w:r>
        <w:r w:rsidR="001249F6">
          <w:rPr>
            <w:noProof/>
            <w:webHidden/>
          </w:rPr>
          <w:t>20</w:t>
        </w:r>
        <w:r w:rsidR="001249F6">
          <w:rPr>
            <w:noProof/>
            <w:webHidden/>
          </w:rPr>
          <w:fldChar w:fldCharType="end"/>
        </w:r>
      </w:hyperlink>
    </w:p>
    <w:p w14:paraId="1DC88EAC" w14:textId="074CC8F3" w:rsidR="001249F6" w:rsidRDefault="0073114B">
      <w:pPr>
        <w:pStyle w:val="TOC2"/>
        <w:rPr>
          <w:rFonts w:asciiTheme="minorHAnsi" w:hAnsiTheme="minorHAnsi" w:cstheme="minorBidi"/>
          <w:noProof/>
          <w:lang w:val="en-AU" w:eastAsia="en-AU"/>
        </w:rPr>
      </w:pPr>
      <w:hyperlink w:anchor="_Toc501451662" w:history="1">
        <w:r w:rsidR="001249F6" w:rsidRPr="00B91A78">
          <w:rPr>
            <w:rStyle w:val="Hyperlink"/>
            <w:noProof/>
            <w:lang w:val="en-AU"/>
          </w:rPr>
          <w:t>Geographic Focus</w:t>
        </w:r>
        <w:r w:rsidR="001249F6">
          <w:rPr>
            <w:noProof/>
            <w:webHidden/>
          </w:rPr>
          <w:tab/>
        </w:r>
        <w:r w:rsidR="001249F6">
          <w:rPr>
            <w:noProof/>
            <w:webHidden/>
          </w:rPr>
          <w:fldChar w:fldCharType="begin"/>
        </w:r>
        <w:r w:rsidR="001249F6">
          <w:rPr>
            <w:noProof/>
            <w:webHidden/>
          </w:rPr>
          <w:instrText xml:space="preserve"> PAGEREF _Toc501451662 \h </w:instrText>
        </w:r>
        <w:r w:rsidR="001249F6">
          <w:rPr>
            <w:noProof/>
            <w:webHidden/>
          </w:rPr>
        </w:r>
        <w:r w:rsidR="001249F6">
          <w:rPr>
            <w:noProof/>
            <w:webHidden/>
          </w:rPr>
          <w:fldChar w:fldCharType="separate"/>
        </w:r>
        <w:r w:rsidR="001249F6">
          <w:rPr>
            <w:noProof/>
            <w:webHidden/>
          </w:rPr>
          <w:t>22</w:t>
        </w:r>
        <w:r w:rsidR="001249F6">
          <w:rPr>
            <w:noProof/>
            <w:webHidden/>
          </w:rPr>
          <w:fldChar w:fldCharType="end"/>
        </w:r>
      </w:hyperlink>
    </w:p>
    <w:p w14:paraId="32160F10" w14:textId="41073F63" w:rsidR="001249F6" w:rsidRDefault="0073114B">
      <w:pPr>
        <w:pStyle w:val="TOC2"/>
        <w:rPr>
          <w:rFonts w:asciiTheme="minorHAnsi" w:hAnsiTheme="minorHAnsi" w:cstheme="minorBidi"/>
          <w:noProof/>
          <w:lang w:val="en-AU" w:eastAsia="en-AU"/>
        </w:rPr>
      </w:pPr>
      <w:hyperlink w:anchor="_Toc501451663" w:history="1">
        <w:r w:rsidR="001249F6" w:rsidRPr="00B91A78">
          <w:rPr>
            <w:rStyle w:val="Hyperlink"/>
            <w:noProof/>
            <w:lang w:val="en-AU"/>
          </w:rPr>
          <w:t>Thematic Focus</w:t>
        </w:r>
        <w:r w:rsidR="001249F6">
          <w:rPr>
            <w:noProof/>
            <w:webHidden/>
          </w:rPr>
          <w:tab/>
        </w:r>
        <w:r w:rsidR="001249F6">
          <w:rPr>
            <w:noProof/>
            <w:webHidden/>
          </w:rPr>
          <w:fldChar w:fldCharType="begin"/>
        </w:r>
        <w:r w:rsidR="001249F6">
          <w:rPr>
            <w:noProof/>
            <w:webHidden/>
          </w:rPr>
          <w:instrText xml:space="preserve"> PAGEREF _Toc501451663 \h </w:instrText>
        </w:r>
        <w:r w:rsidR="001249F6">
          <w:rPr>
            <w:noProof/>
            <w:webHidden/>
          </w:rPr>
        </w:r>
        <w:r w:rsidR="001249F6">
          <w:rPr>
            <w:noProof/>
            <w:webHidden/>
          </w:rPr>
          <w:fldChar w:fldCharType="separate"/>
        </w:r>
        <w:r w:rsidR="001249F6">
          <w:rPr>
            <w:noProof/>
            <w:webHidden/>
          </w:rPr>
          <w:t>23</w:t>
        </w:r>
        <w:r w:rsidR="001249F6">
          <w:rPr>
            <w:noProof/>
            <w:webHidden/>
          </w:rPr>
          <w:fldChar w:fldCharType="end"/>
        </w:r>
      </w:hyperlink>
    </w:p>
    <w:p w14:paraId="134CA398" w14:textId="20EFB62F" w:rsidR="001249F6" w:rsidRDefault="0073114B">
      <w:pPr>
        <w:pStyle w:val="TOC2"/>
        <w:rPr>
          <w:rFonts w:asciiTheme="minorHAnsi" w:hAnsiTheme="minorHAnsi" w:cstheme="minorBidi"/>
          <w:noProof/>
          <w:lang w:val="en-AU" w:eastAsia="en-AU"/>
        </w:rPr>
      </w:pPr>
      <w:hyperlink w:anchor="_Toc501451664" w:history="1">
        <w:r w:rsidR="001249F6" w:rsidRPr="00B91A78">
          <w:rPr>
            <w:rStyle w:val="Hyperlink"/>
            <w:noProof/>
            <w:lang w:val="en-AU"/>
          </w:rPr>
          <w:t>Innovation and Private Sector Engagement</w:t>
        </w:r>
        <w:r w:rsidR="001249F6">
          <w:rPr>
            <w:noProof/>
            <w:webHidden/>
          </w:rPr>
          <w:tab/>
        </w:r>
        <w:r w:rsidR="001249F6">
          <w:rPr>
            <w:noProof/>
            <w:webHidden/>
          </w:rPr>
          <w:fldChar w:fldCharType="begin"/>
        </w:r>
        <w:r w:rsidR="001249F6">
          <w:rPr>
            <w:noProof/>
            <w:webHidden/>
          </w:rPr>
          <w:instrText xml:space="preserve"> PAGEREF _Toc501451664 \h </w:instrText>
        </w:r>
        <w:r w:rsidR="001249F6">
          <w:rPr>
            <w:noProof/>
            <w:webHidden/>
          </w:rPr>
        </w:r>
        <w:r w:rsidR="001249F6">
          <w:rPr>
            <w:noProof/>
            <w:webHidden/>
          </w:rPr>
          <w:fldChar w:fldCharType="separate"/>
        </w:r>
        <w:r w:rsidR="001249F6">
          <w:rPr>
            <w:noProof/>
            <w:webHidden/>
          </w:rPr>
          <w:t>25</w:t>
        </w:r>
        <w:r w:rsidR="001249F6">
          <w:rPr>
            <w:noProof/>
            <w:webHidden/>
          </w:rPr>
          <w:fldChar w:fldCharType="end"/>
        </w:r>
      </w:hyperlink>
    </w:p>
    <w:p w14:paraId="7E2CBC55" w14:textId="34B3F0B4" w:rsidR="001249F6" w:rsidRDefault="0073114B">
      <w:pPr>
        <w:pStyle w:val="TOC1"/>
        <w:rPr>
          <w:rFonts w:asciiTheme="minorHAnsi" w:hAnsiTheme="minorHAnsi" w:cstheme="minorBidi"/>
          <w:noProof/>
          <w:lang w:val="en-AU" w:eastAsia="en-AU"/>
        </w:rPr>
      </w:pPr>
      <w:hyperlink w:anchor="_Toc501451665" w:history="1">
        <w:r w:rsidR="001249F6" w:rsidRPr="00B91A78">
          <w:rPr>
            <w:rStyle w:val="Hyperlink"/>
            <w:noProof/>
            <w:lang w:val="en-AU"/>
          </w:rPr>
          <w:t>Investment Description</w:t>
        </w:r>
        <w:r w:rsidR="001249F6">
          <w:rPr>
            <w:noProof/>
            <w:webHidden/>
          </w:rPr>
          <w:tab/>
        </w:r>
        <w:r w:rsidR="001249F6">
          <w:rPr>
            <w:noProof/>
            <w:webHidden/>
          </w:rPr>
          <w:fldChar w:fldCharType="begin"/>
        </w:r>
        <w:r w:rsidR="001249F6">
          <w:rPr>
            <w:noProof/>
            <w:webHidden/>
          </w:rPr>
          <w:instrText xml:space="preserve"> PAGEREF _Toc501451665 \h </w:instrText>
        </w:r>
        <w:r w:rsidR="001249F6">
          <w:rPr>
            <w:noProof/>
            <w:webHidden/>
          </w:rPr>
        </w:r>
        <w:r w:rsidR="001249F6">
          <w:rPr>
            <w:noProof/>
            <w:webHidden/>
          </w:rPr>
          <w:fldChar w:fldCharType="separate"/>
        </w:r>
        <w:r w:rsidR="001249F6">
          <w:rPr>
            <w:noProof/>
            <w:webHidden/>
          </w:rPr>
          <w:t>26</w:t>
        </w:r>
        <w:r w:rsidR="001249F6">
          <w:rPr>
            <w:noProof/>
            <w:webHidden/>
          </w:rPr>
          <w:fldChar w:fldCharType="end"/>
        </w:r>
      </w:hyperlink>
    </w:p>
    <w:p w14:paraId="1541F8F9" w14:textId="087DD7E6" w:rsidR="001249F6" w:rsidRDefault="0073114B">
      <w:pPr>
        <w:pStyle w:val="TOC2"/>
        <w:rPr>
          <w:rFonts w:asciiTheme="minorHAnsi" w:hAnsiTheme="minorHAnsi" w:cstheme="minorBidi"/>
          <w:noProof/>
          <w:lang w:val="en-AU" w:eastAsia="en-AU"/>
        </w:rPr>
      </w:pPr>
      <w:hyperlink w:anchor="_Toc501451666" w:history="1">
        <w:r w:rsidR="001249F6" w:rsidRPr="00B91A78">
          <w:rPr>
            <w:rStyle w:val="Hyperlink"/>
            <w:noProof/>
            <w:lang w:val="en-AU"/>
          </w:rPr>
          <w:t>Logic and Expected Outcomes</w:t>
        </w:r>
        <w:r w:rsidR="001249F6">
          <w:rPr>
            <w:noProof/>
            <w:webHidden/>
          </w:rPr>
          <w:tab/>
        </w:r>
        <w:r w:rsidR="001249F6">
          <w:rPr>
            <w:noProof/>
            <w:webHidden/>
          </w:rPr>
          <w:fldChar w:fldCharType="begin"/>
        </w:r>
        <w:r w:rsidR="001249F6">
          <w:rPr>
            <w:noProof/>
            <w:webHidden/>
          </w:rPr>
          <w:instrText xml:space="preserve"> PAGEREF _Toc501451666 \h </w:instrText>
        </w:r>
        <w:r w:rsidR="001249F6">
          <w:rPr>
            <w:noProof/>
            <w:webHidden/>
          </w:rPr>
        </w:r>
        <w:r w:rsidR="001249F6">
          <w:rPr>
            <w:noProof/>
            <w:webHidden/>
          </w:rPr>
          <w:fldChar w:fldCharType="separate"/>
        </w:r>
        <w:r w:rsidR="001249F6">
          <w:rPr>
            <w:noProof/>
            <w:webHidden/>
          </w:rPr>
          <w:t>26</w:t>
        </w:r>
        <w:r w:rsidR="001249F6">
          <w:rPr>
            <w:noProof/>
            <w:webHidden/>
          </w:rPr>
          <w:fldChar w:fldCharType="end"/>
        </w:r>
      </w:hyperlink>
    </w:p>
    <w:p w14:paraId="1EF9381C" w14:textId="6369FBC5" w:rsidR="001249F6" w:rsidRDefault="0073114B">
      <w:pPr>
        <w:pStyle w:val="TOC3"/>
        <w:tabs>
          <w:tab w:val="right" w:leader="dot" w:pos="9350"/>
        </w:tabs>
        <w:rPr>
          <w:rFonts w:asciiTheme="minorHAnsi" w:hAnsiTheme="minorHAnsi" w:cstheme="minorBidi"/>
          <w:noProof/>
          <w:lang w:val="en-AU" w:eastAsia="en-AU"/>
        </w:rPr>
      </w:pPr>
      <w:hyperlink w:anchor="_Toc501451667" w:history="1">
        <w:r w:rsidR="001249F6" w:rsidRPr="00B91A78">
          <w:rPr>
            <w:rStyle w:val="Hyperlink"/>
            <w:noProof/>
            <w:lang w:val="en-AU"/>
          </w:rPr>
          <w:t>Purpose Statement</w:t>
        </w:r>
        <w:r w:rsidR="001249F6">
          <w:rPr>
            <w:noProof/>
            <w:webHidden/>
          </w:rPr>
          <w:tab/>
        </w:r>
        <w:r w:rsidR="001249F6">
          <w:rPr>
            <w:noProof/>
            <w:webHidden/>
          </w:rPr>
          <w:fldChar w:fldCharType="begin"/>
        </w:r>
        <w:r w:rsidR="001249F6">
          <w:rPr>
            <w:noProof/>
            <w:webHidden/>
          </w:rPr>
          <w:instrText xml:space="preserve"> PAGEREF _Toc501451667 \h </w:instrText>
        </w:r>
        <w:r w:rsidR="001249F6">
          <w:rPr>
            <w:noProof/>
            <w:webHidden/>
          </w:rPr>
        </w:r>
        <w:r w:rsidR="001249F6">
          <w:rPr>
            <w:noProof/>
            <w:webHidden/>
          </w:rPr>
          <w:fldChar w:fldCharType="separate"/>
        </w:r>
        <w:r w:rsidR="001249F6">
          <w:rPr>
            <w:noProof/>
            <w:webHidden/>
          </w:rPr>
          <w:t>26</w:t>
        </w:r>
        <w:r w:rsidR="001249F6">
          <w:rPr>
            <w:noProof/>
            <w:webHidden/>
          </w:rPr>
          <w:fldChar w:fldCharType="end"/>
        </w:r>
      </w:hyperlink>
    </w:p>
    <w:p w14:paraId="59EA40DE" w14:textId="056011D9" w:rsidR="001249F6" w:rsidRDefault="0073114B">
      <w:pPr>
        <w:pStyle w:val="TOC3"/>
        <w:tabs>
          <w:tab w:val="right" w:leader="dot" w:pos="9350"/>
        </w:tabs>
        <w:rPr>
          <w:rFonts w:asciiTheme="minorHAnsi" w:hAnsiTheme="minorHAnsi" w:cstheme="minorBidi"/>
          <w:noProof/>
          <w:lang w:val="en-AU" w:eastAsia="en-AU"/>
        </w:rPr>
      </w:pPr>
      <w:hyperlink w:anchor="_Toc501451668" w:history="1">
        <w:r w:rsidR="001249F6" w:rsidRPr="00B91A78">
          <w:rPr>
            <w:rStyle w:val="Hyperlink"/>
            <w:noProof/>
            <w:lang w:val="en-AU"/>
          </w:rPr>
          <w:t>Objectives</w:t>
        </w:r>
        <w:r w:rsidR="001249F6">
          <w:rPr>
            <w:noProof/>
            <w:webHidden/>
          </w:rPr>
          <w:tab/>
        </w:r>
        <w:r w:rsidR="001249F6">
          <w:rPr>
            <w:noProof/>
            <w:webHidden/>
          </w:rPr>
          <w:fldChar w:fldCharType="begin"/>
        </w:r>
        <w:r w:rsidR="001249F6">
          <w:rPr>
            <w:noProof/>
            <w:webHidden/>
          </w:rPr>
          <w:instrText xml:space="preserve"> PAGEREF _Toc501451668 \h </w:instrText>
        </w:r>
        <w:r w:rsidR="001249F6">
          <w:rPr>
            <w:noProof/>
            <w:webHidden/>
          </w:rPr>
        </w:r>
        <w:r w:rsidR="001249F6">
          <w:rPr>
            <w:noProof/>
            <w:webHidden/>
          </w:rPr>
          <w:fldChar w:fldCharType="separate"/>
        </w:r>
        <w:r w:rsidR="001249F6">
          <w:rPr>
            <w:noProof/>
            <w:webHidden/>
          </w:rPr>
          <w:t>27</w:t>
        </w:r>
        <w:r w:rsidR="001249F6">
          <w:rPr>
            <w:noProof/>
            <w:webHidden/>
          </w:rPr>
          <w:fldChar w:fldCharType="end"/>
        </w:r>
      </w:hyperlink>
    </w:p>
    <w:p w14:paraId="0AC7756B" w14:textId="5E897C2D" w:rsidR="001249F6" w:rsidRDefault="0073114B">
      <w:pPr>
        <w:pStyle w:val="TOC3"/>
        <w:tabs>
          <w:tab w:val="right" w:leader="dot" w:pos="9350"/>
        </w:tabs>
        <w:rPr>
          <w:rFonts w:asciiTheme="minorHAnsi" w:hAnsiTheme="minorHAnsi" w:cstheme="minorBidi"/>
          <w:noProof/>
          <w:lang w:val="en-AU" w:eastAsia="en-AU"/>
        </w:rPr>
      </w:pPr>
      <w:hyperlink w:anchor="_Toc501451669" w:history="1">
        <w:r w:rsidR="001249F6" w:rsidRPr="00B91A78">
          <w:rPr>
            <w:rStyle w:val="Hyperlink"/>
            <w:noProof/>
            <w:lang w:val="en-AU"/>
          </w:rPr>
          <w:t>Outcomes</w:t>
        </w:r>
        <w:r w:rsidR="001249F6">
          <w:rPr>
            <w:noProof/>
            <w:webHidden/>
          </w:rPr>
          <w:tab/>
        </w:r>
        <w:r w:rsidR="001249F6">
          <w:rPr>
            <w:noProof/>
            <w:webHidden/>
          </w:rPr>
          <w:fldChar w:fldCharType="begin"/>
        </w:r>
        <w:r w:rsidR="001249F6">
          <w:rPr>
            <w:noProof/>
            <w:webHidden/>
          </w:rPr>
          <w:instrText xml:space="preserve"> PAGEREF _Toc501451669 \h </w:instrText>
        </w:r>
        <w:r w:rsidR="001249F6">
          <w:rPr>
            <w:noProof/>
            <w:webHidden/>
          </w:rPr>
        </w:r>
        <w:r w:rsidR="001249F6">
          <w:rPr>
            <w:noProof/>
            <w:webHidden/>
          </w:rPr>
          <w:fldChar w:fldCharType="separate"/>
        </w:r>
        <w:r w:rsidR="001249F6">
          <w:rPr>
            <w:noProof/>
            <w:webHidden/>
          </w:rPr>
          <w:t>28</w:t>
        </w:r>
        <w:r w:rsidR="001249F6">
          <w:rPr>
            <w:noProof/>
            <w:webHidden/>
          </w:rPr>
          <w:fldChar w:fldCharType="end"/>
        </w:r>
      </w:hyperlink>
    </w:p>
    <w:p w14:paraId="20F04B83" w14:textId="219F9F27" w:rsidR="001249F6" w:rsidRDefault="0073114B">
      <w:pPr>
        <w:pStyle w:val="TOC2"/>
        <w:rPr>
          <w:rFonts w:asciiTheme="minorHAnsi" w:hAnsiTheme="minorHAnsi" w:cstheme="minorBidi"/>
          <w:noProof/>
          <w:lang w:val="en-AU" w:eastAsia="en-AU"/>
        </w:rPr>
      </w:pPr>
      <w:hyperlink w:anchor="_Toc501451670" w:history="1">
        <w:r w:rsidR="001249F6" w:rsidRPr="00B91A78">
          <w:rPr>
            <w:rStyle w:val="Hyperlink"/>
            <w:noProof/>
            <w:lang w:val="en-AU"/>
          </w:rPr>
          <w:t>Delivery Mechanisms and Resources</w:t>
        </w:r>
        <w:r w:rsidR="001249F6">
          <w:rPr>
            <w:noProof/>
            <w:webHidden/>
          </w:rPr>
          <w:tab/>
        </w:r>
        <w:r w:rsidR="001249F6">
          <w:rPr>
            <w:noProof/>
            <w:webHidden/>
          </w:rPr>
          <w:fldChar w:fldCharType="begin"/>
        </w:r>
        <w:r w:rsidR="001249F6">
          <w:rPr>
            <w:noProof/>
            <w:webHidden/>
          </w:rPr>
          <w:instrText xml:space="preserve"> PAGEREF _Toc501451670 \h </w:instrText>
        </w:r>
        <w:r w:rsidR="001249F6">
          <w:rPr>
            <w:noProof/>
            <w:webHidden/>
          </w:rPr>
        </w:r>
        <w:r w:rsidR="001249F6">
          <w:rPr>
            <w:noProof/>
            <w:webHidden/>
          </w:rPr>
          <w:fldChar w:fldCharType="separate"/>
        </w:r>
        <w:r w:rsidR="001249F6">
          <w:rPr>
            <w:noProof/>
            <w:webHidden/>
          </w:rPr>
          <w:t>32</w:t>
        </w:r>
        <w:r w:rsidR="001249F6">
          <w:rPr>
            <w:noProof/>
            <w:webHidden/>
          </w:rPr>
          <w:fldChar w:fldCharType="end"/>
        </w:r>
      </w:hyperlink>
    </w:p>
    <w:p w14:paraId="3D8D9890" w14:textId="699920F7" w:rsidR="001249F6" w:rsidRDefault="0073114B">
      <w:pPr>
        <w:pStyle w:val="TOC1"/>
        <w:rPr>
          <w:rFonts w:asciiTheme="minorHAnsi" w:hAnsiTheme="minorHAnsi" w:cstheme="minorBidi"/>
          <w:noProof/>
          <w:lang w:val="en-AU" w:eastAsia="en-AU"/>
        </w:rPr>
      </w:pPr>
      <w:hyperlink w:anchor="_Toc501451671" w:history="1">
        <w:r w:rsidR="001249F6" w:rsidRPr="00B91A78">
          <w:rPr>
            <w:rStyle w:val="Hyperlink"/>
            <w:noProof/>
            <w:lang w:val="en-AU"/>
          </w:rPr>
          <w:t>Governance and Management Arrangements</w:t>
        </w:r>
        <w:r w:rsidR="001249F6">
          <w:rPr>
            <w:noProof/>
            <w:webHidden/>
          </w:rPr>
          <w:tab/>
        </w:r>
        <w:r w:rsidR="001249F6">
          <w:rPr>
            <w:noProof/>
            <w:webHidden/>
          </w:rPr>
          <w:fldChar w:fldCharType="begin"/>
        </w:r>
        <w:r w:rsidR="001249F6">
          <w:rPr>
            <w:noProof/>
            <w:webHidden/>
          </w:rPr>
          <w:instrText xml:space="preserve"> PAGEREF _Toc501451671 \h </w:instrText>
        </w:r>
        <w:r w:rsidR="001249F6">
          <w:rPr>
            <w:noProof/>
            <w:webHidden/>
          </w:rPr>
        </w:r>
        <w:r w:rsidR="001249F6">
          <w:rPr>
            <w:noProof/>
            <w:webHidden/>
          </w:rPr>
          <w:fldChar w:fldCharType="separate"/>
        </w:r>
        <w:r w:rsidR="001249F6">
          <w:rPr>
            <w:noProof/>
            <w:webHidden/>
          </w:rPr>
          <w:t>36</w:t>
        </w:r>
        <w:r w:rsidR="001249F6">
          <w:rPr>
            <w:noProof/>
            <w:webHidden/>
          </w:rPr>
          <w:fldChar w:fldCharType="end"/>
        </w:r>
      </w:hyperlink>
    </w:p>
    <w:p w14:paraId="7C229A16" w14:textId="67F0C23E" w:rsidR="001249F6" w:rsidRDefault="0073114B">
      <w:pPr>
        <w:pStyle w:val="TOC2"/>
        <w:rPr>
          <w:rFonts w:asciiTheme="minorHAnsi" w:hAnsiTheme="minorHAnsi" w:cstheme="minorBidi"/>
          <w:noProof/>
          <w:lang w:val="en-AU" w:eastAsia="en-AU"/>
        </w:rPr>
      </w:pPr>
      <w:hyperlink w:anchor="_Toc501451672" w:history="1">
        <w:r w:rsidR="001249F6" w:rsidRPr="00B91A78">
          <w:rPr>
            <w:rStyle w:val="Hyperlink"/>
            <w:noProof/>
            <w:lang w:val="en-AU"/>
          </w:rPr>
          <w:t>Governance</w:t>
        </w:r>
        <w:r w:rsidR="001249F6">
          <w:rPr>
            <w:noProof/>
            <w:webHidden/>
          </w:rPr>
          <w:tab/>
        </w:r>
        <w:r w:rsidR="001249F6">
          <w:rPr>
            <w:noProof/>
            <w:webHidden/>
          </w:rPr>
          <w:fldChar w:fldCharType="begin"/>
        </w:r>
        <w:r w:rsidR="001249F6">
          <w:rPr>
            <w:noProof/>
            <w:webHidden/>
          </w:rPr>
          <w:instrText xml:space="preserve"> PAGEREF _Toc501451672 \h </w:instrText>
        </w:r>
        <w:r w:rsidR="001249F6">
          <w:rPr>
            <w:noProof/>
            <w:webHidden/>
          </w:rPr>
        </w:r>
        <w:r w:rsidR="001249F6">
          <w:rPr>
            <w:noProof/>
            <w:webHidden/>
          </w:rPr>
          <w:fldChar w:fldCharType="separate"/>
        </w:r>
        <w:r w:rsidR="001249F6">
          <w:rPr>
            <w:noProof/>
            <w:webHidden/>
          </w:rPr>
          <w:t>36</w:t>
        </w:r>
        <w:r w:rsidR="001249F6">
          <w:rPr>
            <w:noProof/>
            <w:webHidden/>
          </w:rPr>
          <w:fldChar w:fldCharType="end"/>
        </w:r>
      </w:hyperlink>
    </w:p>
    <w:p w14:paraId="567E2CA9" w14:textId="71C42446" w:rsidR="001249F6" w:rsidRDefault="0073114B">
      <w:pPr>
        <w:pStyle w:val="TOC2"/>
        <w:rPr>
          <w:rFonts w:asciiTheme="minorHAnsi" w:hAnsiTheme="minorHAnsi" w:cstheme="minorBidi"/>
          <w:noProof/>
          <w:lang w:val="en-AU" w:eastAsia="en-AU"/>
        </w:rPr>
      </w:pPr>
      <w:hyperlink w:anchor="_Toc501451673" w:history="1">
        <w:r w:rsidR="001249F6" w:rsidRPr="00B91A78">
          <w:rPr>
            <w:rStyle w:val="Hyperlink"/>
            <w:noProof/>
          </w:rPr>
          <w:t>Management and support</w:t>
        </w:r>
        <w:r w:rsidR="001249F6">
          <w:rPr>
            <w:noProof/>
            <w:webHidden/>
          </w:rPr>
          <w:tab/>
        </w:r>
        <w:r w:rsidR="001249F6">
          <w:rPr>
            <w:noProof/>
            <w:webHidden/>
          </w:rPr>
          <w:fldChar w:fldCharType="begin"/>
        </w:r>
        <w:r w:rsidR="001249F6">
          <w:rPr>
            <w:noProof/>
            <w:webHidden/>
          </w:rPr>
          <w:instrText xml:space="preserve"> PAGEREF _Toc501451673 \h </w:instrText>
        </w:r>
        <w:r w:rsidR="001249F6">
          <w:rPr>
            <w:noProof/>
            <w:webHidden/>
          </w:rPr>
        </w:r>
        <w:r w:rsidR="001249F6">
          <w:rPr>
            <w:noProof/>
            <w:webHidden/>
          </w:rPr>
          <w:fldChar w:fldCharType="separate"/>
        </w:r>
        <w:r w:rsidR="001249F6">
          <w:rPr>
            <w:noProof/>
            <w:webHidden/>
          </w:rPr>
          <w:t>41</w:t>
        </w:r>
        <w:r w:rsidR="001249F6">
          <w:rPr>
            <w:noProof/>
            <w:webHidden/>
          </w:rPr>
          <w:fldChar w:fldCharType="end"/>
        </w:r>
      </w:hyperlink>
    </w:p>
    <w:p w14:paraId="4184342C" w14:textId="24407D9F" w:rsidR="001249F6" w:rsidRDefault="0073114B">
      <w:pPr>
        <w:pStyle w:val="TOC2"/>
        <w:rPr>
          <w:rFonts w:asciiTheme="minorHAnsi" w:hAnsiTheme="minorHAnsi" w:cstheme="minorBidi"/>
          <w:noProof/>
          <w:lang w:val="en-AU" w:eastAsia="en-AU"/>
        </w:rPr>
      </w:pPr>
      <w:hyperlink w:anchor="_Toc501451674" w:history="1">
        <w:r w:rsidR="001249F6" w:rsidRPr="00B91A78">
          <w:rPr>
            <w:rStyle w:val="Hyperlink"/>
            <w:noProof/>
          </w:rPr>
          <w:t>Additional support services</w:t>
        </w:r>
        <w:r w:rsidR="001249F6">
          <w:rPr>
            <w:noProof/>
            <w:webHidden/>
          </w:rPr>
          <w:tab/>
        </w:r>
        <w:r w:rsidR="001249F6">
          <w:rPr>
            <w:noProof/>
            <w:webHidden/>
          </w:rPr>
          <w:fldChar w:fldCharType="begin"/>
        </w:r>
        <w:r w:rsidR="001249F6">
          <w:rPr>
            <w:noProof/>
            <w:webHidden/>
          </w:rPr>
          <w:instrText xml:space="preserve"> PAGEREF _Toc501451674 \h </w:instrText>
        </w:r>
        <w:r w:rsidR="001249F6">
          <w:rPr>
            <w:noProof/>
            <w:webHidden/>
          </w:rPr>
        </w:r>
        <w:r w:rsidR="001249F6">
          <w:rPr>
            <w:noProof/>
            <w:webHidden/>
          </w:rPr>
          <w:fldChar w:fldCharType="separate"/>
        </w:r>
        <w:r w:rsidR="001249F6">
          <w:rPr>
            <w:noProof/>
            <w:webHidden/>
          </w:rPr>
          <w:t>43</w:t>
        </w:r>
        <w:r w:rsidR="001249F6">
          <w:rPr>
            <w:noProof/>
            <w:webHidden/>
          </w:rPr>
          <w:fldChar w:fldCharType="end"/>
        </w:r>
      </w:hyperlink>
    </w:p>
    <w:p w14:paraId="07D26197" w14:textId="03C22DFD" w:rsidR="001249F6" w:rsidRDefault="0073114B">
      <w:pPr>
        <w:pStyle w:val="TOC1"/>
        <w:rPr>
          <w:rFonts w:asciiTheme="minorHAnsi" w:hAnsiTheme="minorHAnsi" w:cstheme="minorBidi"/>
          <w:noProof/>
          <w:lang w:val="en-AU" w:eastAsia="en-AU"/>
        </w:rPr>
      </w:pPr>
      <w:hyperlink w:anchor="_Toc501451675" w:history="1">
        <w:r w:rsidR="001249F6" w:rsidRPr="00B91A78">
          <w:rPr>
            <w:rStyle w:val="Hyperlink"/>
            <w:noProof/>
          </w:rPr>
          <w:t>Monitoring, Evaluation and Communication</w:t>
        </w:r>
        <w:r w:rsidR="001249F6">
          <w:rPr>
            <w:noProof/>
            <w:webHidden/>
          </w:rPr>
          <w:tab/>
        </w:r>
        <w:r w:rsidR="001249F6">
          <w:rPr>
            <w:noProof/>
            <w:webHidden/>
          </w:rPr>
          <w:fldChar w:fldCharType="begin"/>
        </w:r>
        <w:r w:rsidR="001249F6">
          <w:rPr>
            <w:noProof/>
            <w:webHidden/>
          </w:rPr>
          <w:instrText xml:space="preserve"> PAGEREF _Toc501451675 \h </w:instrText>
        </w:r>
        <w:r w:rsidR="001249F6">
          <w:rPr>
            <w:noProof/>
            <w:webHidden/>
          </w:rPr>
        </w:r>
        <w:r w:rsidR="001249F6">
          <w:rPr>
            <w:noProof/>
            <w:webHidden/>
          </w:rPr>
          <w:fldChar w:fldCharType="separate"/>
        </w:r>
        <w:r w:rsidR="001249F6">
          <w:rPr>
            <w:noProof/>
            <w:webHidden/>
          </w:rPr>
          <w:t>45</w:t>
        </w:r>
        <w:r w:rsidR="001249F6">
          <w:rPr>
            <w:noProof/>
            <w:webHidden/>
          </w:rPr>
          <w:fldChar w:fldCharType="end"/>
        </w:r>
      </w:hyperlink>
    </w:p>
    <w:p w14:paraId="2CF69D06" w14:textId="1EAD7764" w:rsidR="001249F6" w:rsidRDefault="0073114B">
      <w:pPr>
        <w:pStyle w:val="TOC2"/>
        <w:rPr>
          <w:rFonts w:asciiTheme="minorHAnsi" w:hAnsiTheme="minorHAnsi" w:cstheme="minorBidi"/>
          <w:noProof/>
          <w:lang w:val="en-AU" w:eastAsia="en-AU"/>
        </w:rPr>
      </w:pPr>
      <w:hyperlink w:anchor="_Toc501451676" w:history="1">
        <w:r w:rsidR="001249F6" w:rsidRPr="00B91A78">
          <w:rPr>
            <w:rStyle w:val="Hyperlink"/>
            <w:noProof/>
          </w:rPr>
          <w:t>Principles Guiding the M&amp;E System</w:t>
        </w:r>
        <w:r w:rsidR="001249F6">
          <w:rPr>
            <w:noProof/>
            <w:webHidden/>
          </w:rPr>
          <w:tab/>
        </w:r>
        <w:r w:rsidR="001249F6">
          <w:rPr>
            <w:noProof/>
            <w:webHidden/>
          </w:rPr>
          <w:fldChar w:fldCharType="begin"/>
        </w:r>
        <w:r w:rsidR="001249F6">
          <w:rPr>
            <w:noProof/>
            <w:webHidden/>
          </w:rPr>
          <w:instrText xml:space="preserve"> PAGEREF _Toc501451676 \h </w:instrText>
        </w:r>
        <w:r w:rsidR="001249F6">
          <w:rPr>
            <w:noProof/>
            <w:webHidden/>
          </w:rPr>
        </w:r>
        <w:r w:rsidR="001249F6">
          <w:rPr>
            <w:noProof/>
            <w:webHidden/>
          </w:rPr>
          <w:fldChar w:fldCharType="separate"/>
        </w:r>
        <w:r w:rsidR="001249F6">
          <w:rPr>
            <w:noProof/>
            <w:webHidden/>
          </w:rPr>
          <w:t>45</w:t>
        </w:r>
        <w:r w:rsidR="001249F6">
          <w:rPr>
            <w:noProof/>
            <w:webHidden/>
          </w:rPr>
          <w:fldChar w:fldCharType="end"/>
        </w:r>
      </w:hyperlink>
    </w:p>
    <w:p w14:paraId="0BF2A761" w14:textId="750FC375" w:rsidR="001249F6" w:rsidRDefault="0073114B">
      <w:pPr>
        <w:pStyle w:val="TOC2"/>
        <w:rPr>
          <w:rFonts w:asciiTheme="minorHAnsi" w:hAnsiTheme="minorHAnsi" w:cstheme="minorBidi"/>
          <w:noProof/>
          <w:lang w:val="en-AU" w:eastAsia="en-AU"/>
        </w:rPr>
      </w:pPr>
      <w:hyperlink w:anchor="_Toc501451677" w:history="1">
        <w:r w:rsidR="001249F6" w:rsidRPr="00B91A78">
          <w:rPr>
            <w:rStyle w:val="Hyperlink"/>
            <w:noProof/>
          </w:rPr>
          <w:t>Overarching Evaluation Questions</w:t>
        </w:r>
        <w:r w:rsidR="001249F6">
          <w:rPr>
            <w:noProof/>
            <w:webHidden/>
          </w:rPr>
          <w:tab/>
        </w:r>
        <w:r w:rsidR="001249F6">
          <w:rPr>
            <w:noProof/>
            <w:webHidden/>
          </w:rPr>
          <w:fldChar w:fldCharType="begin"/>
        </w:r>
        <w:r w:rsidR="001249F6">
          <w:rPr>
            <w:noProof/>
            <w:webHidden/>
          </w:rPr>
          <w:instrText xml:space="preserve"> PAGEREF _Toc501451677 \h </w:instrText>
        </w:r>
        <w:r w:rsidR="001249F6">
          <w:rPr>
            <w:noProof/>
            <w:webHidden/>
          </w:rPr>
        </w:r>
        <w:r w:rsidR="001249F6">
          <w:rPr>
            <w:noProof/>
            <w:webHidden/>
          </w:rPr>
          <w:fldChar w:fldCharType="separate"/>
        </w:r>
        <w:r w:rsidR="001249F6">
          <w:rPr>
            <w:noProof/>
            <w:webHidden/>
          </w:rPr>
          <w:t>46</w:t>
        </w:r>
        <w:r w:rsidR="001249F6">
          <w:rPr>
            <w:noProof/>
            <w:webHidden/>
          </w:rPr>
          <w:fldChar w:fldCharType="end"/>
        </w:r>
      </w:hyperlink>
    </w:p>
    <w:p w14:paraId="770BF08D" w14:textId="6570D84F" w:rsidR="001249F6" w:rsidRDefault="0073114B">
      <w:pPr>
        <w:pStyle w:val="TOC2"/>
        <w:rPr>
          <w:rFonts w:asciiTheme="minorHAnsi" w:hAnsiTheme="minorHAnsi" w:cstheme="minorBidi"/>
          <w:noProof/>
          <w:lang w:val="en-AU" w:eastAsia="en-AU"/>
        </w:rPr>
      </w:pPr>
      <w:hyperlink w:anchor="_Toc501451678" w:history="1">
        <w:r w:rsidR="001249F6" w:rsidRPr="00B91A78">
          <w:rPr>
            <w:rStyle w:val="Hyperlink"/>
            <w:noProof/>
          </w:rPr>
          <w:t>Levels of Enquiry</w:t>
        </w:r>
        <w:r w:rsidR="001249F6">
          <w:rPr>
            <w:noProof/>
            <w:webHidden/>
          </w:rPr>
          <w:tab/>
        </w:r>
        <w:r w:rsidR="001249F6">
          <w:rPr>
            <w:noProof/>
            <w:webHidden/>
          </w:rPr>
          <w:fldChar w:fldCharType="begin"/>
        </w:r>
        <w:r w:rsidR="001249F6">
          <w:rPr>
            <w:noProof/>
            <w:webHidden/>
          </w:rPr>
          <w:instrText xml:space="preserve"> PAGEREF _Toc501451678 \h </w:instrText>
        </w:r>
        <w:r w:rsidR="001249F6">
          <w:rPr>
            <w:noProof/>
            <w:webHidden/>
          </w:rPr>
        </w:r>
        <w:r w:rsidR="001249F6">
          <w:rPr>
            <w:noProof/>
            <w:webHidden/>
          </w:rPr>
          <w:fldChar w:fldCharType="separate"/>
        </w:r>
        <w:r w:rsidR="001249F6">
          <w:rPr>
            <w:noProof/>
            <w:webHidden/>
          </w:rPr>
          <w:t>47</w:t>
        </w:r>
        <w:r w:rsidR="001249F6">
          <w:rPr>
            <w:noProof/>
            <w:webHidden/>
          </w:rPr>
          <w:fldChar w:fldCharType="end"/>
        </w:r>
      </w:hyperlink>
    </w:p>
    <w:p w14:paraId="201859E5" w14:textId="7C2E72BE" w:rsidR="001249F6" w:rsidRDefault="0073114B">
      <w:pPr>
        <w:pStyle w:val="TOC2"/>
        <w:rPr>
          <w:rFonts w:asciiTheme="minorHAnsi" w:hAnsiTheme="minorHAnsi" w:cstheme="minorBidi"/>
          <w:noProof/>
          <w:lang w:val="en-AU" w:eastAsia="en-AU"/>
        </w:rPr>
      </w:pPr>
      <w:hyperlink w:anchor="_Toc501451679" w:history="1">
        <w:r w:rsidR="001249F6" w:rsidRPr="00B91A78">
          <w:rPr>
            <w:rStyle w:val="Hyperlink"/>
            <w:noProof/>
          </w:rPr>
          <w:t>Program Level</w:t>
        </w:r>
        <w:r w:rsidR="001249F6">
          <w:rPr>
            <w:noProof/>
            <w:webHidden/>
          </w:rPr>
          <w:tab/>
        </w:r>
        <w:r w:rsidR="001249F6">
          <w:rPr>
            <w:noProof/>
            <w:webHidden/>
          </w:rPr>
          <w:fldChar w:fldCharType="begin"/>
        </w:r>
        <w:r w:rsidR="001249F6">
          <w:rPr>
            <w:noProof/>
            <w:webHidden/>
          </w:rPr>
          <w:instrText xml:space="preserve"> PAGEREF _Toc501451679 \h </w:instrText>
        </w:r>
        <w:r w:rsidR="001249F6">
          <w:rPr>
            <w:noProof/>
            <w:webHidden/>
          </w:rPr>
        </w:r>
        <w:r w:rsidR="001249F6">
          <w:rPr>
            <w:noProof/>
            <w:webHidden/>
          </w:rPr>
          <w:fldChar w:fldCharType="separate"/>
        </w:r>
        <w:r w:rsidR="001249F6">
          <w:rPr>
            <w:noProof/>
            <w:webHidden/>
          </w:rPr>
          <w:t>48</w:t>
        </w:r>
        <w:r w:rsidR="001249F6">
          <w:rPr>
            <w:noProof/>
            <w:webHidden/>
          </w:rPr>
          <w:fldChar w:fldCharType="end"/>
        </w:r>
      </w:hyperlink>
    </w:p>
    <w:p w14:paraId="613D65A7" w14:textId="15216A0E" w:rsidR="001249F6" w:rsidRDefault="0073114B">
      <w:pPr>
        <w:pStyle w:val="TOC2"/>
        <w:rPr>
          <w:rFonts w:asciiTheme="minorHAnsi" w:hAnsiTheme="minorHAnsi" w:cstheme="minorBidi"/>
          <w:noProof/>
          <w:lang w:val="en-AU" w:eastAsia="en-AU"/>
        </w:rPr>
      </w:pPr>
      <w:hyperlink w:anchor="_Toc501451680" w:history="1">
        <w:r w:rsidR="001249F6" w:rsidRPr="00B91A78">
          <w:rPr>
            <w:rStyle w:val="Hyperlink"/>
            <w:noProof/>
          </w:rPr>
          <w:t>Country Level</w:t>
        </w:r>
        <w:r w:rsidR="001249F6">
          <w:rPr>
            <w:noProof/>
            <w:webHidden/>
          </w:rPr>
          <w:tab/>
        </w:r>
        <w:r w:rsidR="001249F6">
          <w:rPr>
            <w:noProof/>
            <w:webHidden/>
          </w:rPr>
          <w:fldChar w:fldCharType="begin"/>
        </w:r>
        <w:r w:rsidR="001249F6">
          <w:rPr>
            <w:noProof/>
            <w:webHidden/>
          </w:rPr>
          <w:instrText xml:space="preserve"> PAGEREF _Toc501451680 \h </w:instrText>
        </w:r>
        <w:r w:rsidR="001249F6">
          <w:rPr>
            <w:noProof/>
            <w:webHidden/>
          </w:rPr>
        </w:r>
        <w:r w:rsidR="001249F6">
          <w:rPr>
            <w:noProof/>
            <w:webHidden/>
          </w:rPr>
          <w:fldChar w:fldCharType="separate"/>
        </w:r>
        <w:r w:rsidR="001249F6">
          <w:rPr>
            <w:noProof/>
            <w:webHidden/>
          </w:rPr>
          <w:t>50</w:t>
        </w:r>
        <w:r w:rsidR="001249F6">
          <w:rPr>
            <w:noProof/>
            <w:webHidden/>
          </w:rPr>
          <w:fldChar w:fldCharType="end"/>
        </w:r>
      </w:hyperlink>
    </w:p>
    <w:p w14:paraId="0B71B21B" w14:textId="46756B02" w:rsidR="001249F6" w:rsidRDefault="0073114B">
      <w:pPr>
        <w:pStyle w:val="TOC2"/>
        <w:rPr>
          <w:rFonts w:asciiTheme="minorHAnsi" w:hAnsiTheme="minorHAnsi" w:cstheme="minorBidi"/>
          <w:noProof/>
          <w:lang w:val="en-AU" w:eastAsia="en-AU"/>
        </w:rPr>
      </w:pPr>
      <w:hyperlink w:anchor="_Toc501451681" w:history="1">
        <w:r w:rsidR="001249F6" w:rsidRPr="00B91A78">
          <w:rPr>
            <w:rStyle w:val="Hyperlink"/>
            <w:noProof/>
          </w:rPr>
          <w:t>NGO Sub Program</w:t>
        </w:r>
        <w:r w:rsidR="001249F6">
          <w:rPr>
            <w:noProof/>
            <w:webHidden/>
          </w:rPr>
          <w:tab/>
        </w:r>
        <w:r w:rsidR="001249F6">
          <w:rPr>
            <w:noProof/>
            <w:webHidden/>
          </w:rPr>
          <w:fldChar w:fldCharType="begin"/>
        </w:r>
        <w:r w:rsidR="001249F6">
          <w:rPr>
            <w:noProof/>
            <w:webHidden/>
          </w:rPr>
          <w:instrText xml:space="preserve"> PAGEREF _Toc501451681 \h </w:instrText>
        </w:r>
        <w:r w:rsidR="001249F6">
          <w:rPr>
            <w:noProof/>
            <w:webHidden/>
          </w:rPr>
        </w:r>
        <w:r w:rsidR="001249F6">
          <w:rPr>
            <w:noProof/>
            <w:webHidden/>
          </w:rPr>
          <w:fldChar w:fldCharType="separate"/>
        </w:r>
        <w:r w:rsidR="001249F6">
          <w:rPr>
            <w:noProof/>
            <w:webHidden/>
          </w:rPr>
          <w:t>51</w:t>
        </w:r>
        <w:r w:rsidR="001249F6">
          <w:rPr>
            <w:noProof/>
            <w:webHidden/>
          </w:rPr>
          <w:fldChar w:fldCharType="end"/>
        </w:r>
      </w:hyperlink>
    </w:p>
    <w:p w14:paraId="23CA61A5" w14:textId="70A0769E" w:rsidR="001249F6" w:rsidRDefault="0073114B">
      <w:pPr>
        <w:pStyle w:val="TOC2"/>
        <w:rPr>
          <w:rFonts w:asciiTheme="minorHAnsi" w:hAnsiTheme="minorHAnsi" w:cstheme="minorBidi"/>
          <w:noProof/>
          <w:lang w:val="en-AU" w:eastAsia="en-AU"/>
        </w:rPr>
      </w:pPr>
      <w:hyperlink w:anchor="_Toc501451682" w:history="1">
        <w:r w:rsidR="001249F6" w:rsidRPr="00B91A78">
          <w:rPr>
            <w:rStyle w:val="Hyperlink"/>
            <w:noProof/>
          </w:rPr>
          <w:t>Quality Assurance</w:t>
        </w:r>
        <w:r w:rsidR="001249F6">
          <w:rPr>
            <w:noProof/>
            <w:webHidden/>
          </w:rPr>
          <w:tab/>
        </w:r>
        <w:r w:rsidR="001249F6">
          <w:rPr>
            <w:noProof/>
            <w:webHidden/>
          </w:rPr>
          <w:fldChar w:fldCharType="begin"/>
        </w:r>
        <w:r w:rsidR="001249F6">
          <w:rPr>
            <w:noProof/>
            <w:webHidden/>
          </w:rPr>
          <w:instrText xml:space="preserve"> PAGEREF _Toc501451682 \h </w:instrText>
        </w:r>
        <w:r w:rsidR="001249F6">
          <w:rPr>
            <w:noProof/>
            <w:webHidden/>
          </w:rPr>
        </w:r>
        <w:r w:rsidR="001249F6">
          <w:rPr>
            <w:noProof/>
            <w:webHidden/>
          </w:rPr>
          <w:fldChar w:fldCharType="separate"/>
        </w:r>
        <w:r w:rsidR="001249F6">
          <w:rPr>
            <w:noProof/>
            <w:webHidden/>
          </w:rPr>
          <w:t>52</w:t>
        </w:r>
        <w:r w:rsidR="001249F6">
          <w:rPr>
            <w:noProof/>
            <w:webHidden/>
          </w:rPr>
          <w:fldChar w:fldCharType="end"/>
        </w:r>
      </w:hyperlink>
    </w:p>
    <w:p w14:paraId="2610B462" w14:textId="7A756492" w:rsidR="001249F6" w:rsidRDefault="0073114B">
      <w:pPr>
        <w:pStyle w:val="TOC2"/>
        <w:rPr>
          <w:rFonts w:asciiTheme="minorHAnsi" w:hAnsiTheme="minorHAnsi" w:cstheme="minorBidi"/>
          <w:noProof/>
          <w:lang w:val="en-AU" w:eastAsia="en-AU"/>
        </w:rPr>
      </w:pPr>
      <w:hyperlink w:anchor="_Toc501451683" w:history="1">
        <w:r w:rsidR="001249F6" w:rsidRPr="00B91A78">
          <w:rPr>
            <w:rStyle w:val="Hyperlink"/>
            <w:noProof/>
          </w:rPr>
          <w:t>Timeline for M&amp;E and reporting milestones</w:t>
        </w:r>
        <w:r w:rsidR="001249F6">
          <w:rPr>
            <w:noProof/>
            <w:webHidden/>
          </w:rPr>
          <w:tab/>
        </w:r>
        <w:r w:rsidR="001249F6">
          <w:rPr>
            <w:noProof/>
            <w:webHidden/>
          </w:rPr>
          <w:fldChar w:fldCharType="begin"/>
        </w:r>
        <w:r w:rsidR="001249F6">
          <w:rPr>
            <w:noProof/>
            <w:webHidden/>
          </w:rPr>
          <w:instrText xml:space="preserve"> PAGEREF _Toc501451683 \h </w:instrText>
        </w:r>
        <w:r w:rsidR="001249F6">
          <w:rPr>
            <w:noProof/>
            <w:webHidden/>
          </w:rPr>
        </w:r>
        <w:r w:rsidR="001249F6">
          <w:rPr>
            <w:noProof/>
            <w:webHidden/>
          </w:rPr>
          <w:fldChar w:fldCharType="separate"/>
        </w:r>
        <w:r w:rsidR="001249F6">
          <w:rPr>
            <w:noProof/>
            <w:webHidden/>
          </w:rPr>
          <w:t>53</w:t>
        </w:r>
        <w:r w:rsidR="001249F6">
          <w:rPr>
            <w:noProof/>
            <w:webHidden/>
          </w:rPr>
          <w:fldChar w:fldCharType="end"/>
        </w:r>
      </w:hyperlink>
    </w:p>
    <w:p w14:paraId="69E4EB57" w14:textId="27EF86F8" w:rsidR="001249F6" w:rsidRDefault="0073114B">
      <w:pPr>
        <w:pStyle w:val="TOC2"/>
        <w:rPr>
          <w:rFonts w:asciiTheme="minorHAnsi" w:hAnsiTheme="minorHAnsi" w:cstheme="minorBidi"/>
          <w:noProof/>
          <w:lang w:val="en-AU" w:eastAsia="en-AU"/>
        </w:rPr>
      </w:pPr>
      <w:hyperlink w:anchor="_Toc501451684" w:history="1">
        <w:r w:rsidR="001249F6" w:rsidRPr="00B91A78">
          <w:rPr>
            <w:rStyle w:val="Hyperlink"/>
            <w:noProof/>
          </w:rPr>
          <w:t>Data sources for each evaluation sub-question</w:t>
        </w:r>
        <w:r w:rsidR="001249F6">
          <w:rPr>
            <w:noProof/>
            <w:webHidden/>
          </w:rPr>
          <w:tab/>
        </w:r>
        <w:r w:rsidR="001249F6">
          <w:rPr>
            <w:noProof/>
            <w:webHidden/>
          </w:rPr>
          <w:fldChar w:fldCharType="begin"/>
        </w:r>
        <w:r w:rsidR="001249F6">
          <w:rPr>
            <w:noProof/>
            <w:webHidden/>
          </w:rPr>
          <w:instrText xml:space="preserve"> PAGEREF _Toc501451684 \h </w:instrText>
        </w:r>
        <w:r w:rsidR="001249F6">
          <w:rPr>
            <w:noProof/>
            <w:webHidden/>
          </w:rPr>
        </w:r>
        <w:r w:rsidR="001249F6">
          <w:rPr>
            <w:noProof/>
            <w:webHidden/>
          </w:rPr>
          <w:fldChar w:fldCharType="separate"/>
        </w:r>
        <w:r w:rsidR="001249F6">
          <w:rPr>
            <w:noProof/>
            <w:webHidden/>
          </w:rPr>
          <w:t>54</w:t>
        </w:r>
        <w:r w:rsidR="001249F6">
          <w:rPr>
            <w:noProof/>
            <w:webHidden/>
          </w:rPr>
          <w:fldChar w:fldCharType="end"/>
        </w:r>
      </w:hyperlink>
    </w:p>
    <w:p w14:paraId="0E255D59" w14:textId="082D5E1A" w:rsidR="001249F6" w:rsidRDefault="0073114B">
      <w:pPr>
        <w:pStyle w:val="TOC1"/>
        <w:rPr>
          <w:rFonts w:asciiTheme="minorHAnsi" w:hAnsiTheme="minorHAnsi" w:cstheme="minorBidi"/>
          <w:noProof/>
          <w:lang w:val="en-AU" w:eastAsia="en-AU"/>
        </w:rPr>
      </w:pPr>
      <w:hyperlink w:anchor="_Toc501451685" w:history="1">
        <w:r w:rsidR="001249F6" w:rsidRPr="00B91A78">
          <w:rPr>
            <w:rStyle w:val="Hyperlink"/>
            <w:noProof/>
            <w:lang w:val="en-AU"/>
          </w:rPr>
          <w:t>Communications</w:t>
        </w:r>
        <w:r w:rsidR="001249F6">
          <w:rPr>
            <w:noProof/>
            <w:webHidden/>
          </w:rPr>
          <w:tab/>
        </w:r>
        <w:r w:rsidR="001249F6">
          <w:rPr>
            <w:noProof/>
            <w:webHidden/>
          </w:rPr>
          <w:fldChar w:fldCharType="begin"/>
        </w:r>
        <w:r w:rsidR="001249F6">
          <w:rPr>
            <w:noProof/>
            <w:webHidden/>
          </w:rPr>
          <w:instrText xml:space="preserve"> PAGEREF _Toc501451685 \h </w:instrText>
        </w:r>
        <w:r w:rsidR="001249F6">
          <w:rPr>
            <w:noProof/>
            <w:webHidden/>
          </w:rPr>
        </w:r>
        <w:r w:rsidR="001249F6">
          <w:rPr>
            <w:noProof/>
            <w:webHidden/>
          </w:rPr>
          <w:fldChar w:fldCharType="separate"/>
        </w:r>
        <w:r w:rsidR="001249F6">
          <w:rPr>
            <w:noProof/>
            <w:webHidden/>
          </w:rPr>
          <w:t>55</w:t>
        </w:r>
        <w:r w:rsidR="001249F6">
          <w:rPr>
            <w:noProof/>
            <w:webHidden/>
          </w:rPr>
          <w:fldChar w:fldCharType="end"/>
        </w:r>
      </w:hyperlink>
    </w:p>
    <w:p w14:paraId="4A7AD2A8" w14:textId="68517A64" w:rsidR="001249F6" w:rsidRDefault="0073114B">
      <w:pPr>
        <w:pStyle w:val="TOC1"/>
        <w:rPr>
          <w:rFonts w:asciiTheme="minorHAnsi" w:hAnsiTheme="minorHAnsi" w:cstheme="minorBidi"/>
          <w:noProof/>
          <w:lang w:val="en-AU" w:eastAsia="en-AU"/>
        </w:rPr>
      </w:pPr>
      <w:hyperlink w:anchor="_Toc501451686" w:history="1">
        <w:r w:rsidR="001249F6" w:rsidRPr="00B91A78">
          <w:rPr>
            <w:rStyle w:val="Hyperlink"/>
            <w:noProof/>
            <w:lang w:val="en-AU"/>
          </w:rPr>
          <w:t>Sustainability</w:t>
        </w:r>
        <w:r w:rsidR="001249F6">
          <w:rPr>
            <w:noProof/>
            <w:webHidden/>
          </w:rPr>
          <w:tab/>
        </w:r>
        <w:r w:rsidR="001249F6">
          <w:rPr>
            <w:noProof/>
            <w:webHidden/>
          </w:rPr>
          <w:fldChar w:fldCharType="begin"/>
        </w:r>
        <w:r w:rsidR="001249F6">
          <w:rPr>
            <w:noProof/>
            <w:webHidden/>
          </w:rPr>
          <w:instrText xml:space="preserve"> PAGEREF _Toc501451686 \h </w:instrText>
        </w:r>
        <w:r w:rsidR="001249F6">
          <w:rPr>
            <w:noProof/>
            <w:webHidden/>
          </w:rPr>
        </w:r>
        <w:r w:rsidR="001249F6">
          <w:rPr>
            <w:noProof/>
            <w:webHidden/>
          </w:rPr>
          <w:fldChar w:fldCharType="separate"/>
        </w:r>
        <w:r w:rsidR="001249F6">
          <w:rPr>
            <w:noProof/>
            <w:webHidden/>
          </w:rPr>
          <w:t>56</w:t>
        </w:r>
        <w:r w:rsidR="001249F6">
          <w:rPr>
            <w:noProof/>
            <w:webHidden/>
          </w:rPr>
          <w:fldChar w:fldCharType="end"/>
        </w:r>
      </w:hyperlink>
    </w:p>
    <w:p w14:paraId="64F06121" w14:textId="603A12C9" w:rsidR="001249F6" w:rsidRDefault="0073114B">
      <w:pPr>
        <w:pStyle w:val="TOC1"/>
        <w:rPr>
          <w:rFonts w:asciiTheme="minorHAnsi" w:hAnsiTheme="minorHAnsi" w:cstheme="minorBidi"/>
          <w:noProof/>
          <w:lang w:val="en-AU" w:eastAsia="en-AU"/>
        </w:rPr>
      </w:pPr>
      <w:hyperlink w:anchor="_Toc501451687" w:history="1">
        <w:r w:rsidR="001249F6" w:rsidRPr="00B91A78">
          <w:rPr>
            <w:rStyle w:val="Hyperlink"/>
            <w:noProof/>
            <w:lang w:val="en-AU"/>
          </w:rPr>
          <w:t>Gender Equality</w:t>
        </w:r>
        <w:r w:rsidR="001249F6">
          <w:rPr>
            <w:noProof/>
            <w:webHidden/>
          </w:rPr>
          <w:tab/>
        </w:r>
        <w:r w:rsidR="001249F6">
          <w:rPr>
            <w:noProof/>
            <w:webHidden/>
          </w:rPr>
          <w:fldChar w:fldCharType="begin"/>
        </w:r>
        <w:r w:rsidR="001249F6">
          <w:rPr>
            <w:noProof/>
            <w:webHidden/>
          </w:rPr>
          <w:instrText xml:space="preserve"> PAGEREF _Toc501451687 \h </w:instrText>
        </w:r>
        <w:r w:rsidR="001249F6">
          <w:rPr>
            <w:noProof/>
            <w:webHidden/>
          </w:rPr>
        </w:r>
        <w:r w:rsidR="001249F6">
          <w:rPr>
            <w:noProof/>
            <w:webHidden/>
          </w:rPr>
          <w:fldChar w:fldCharType="separate"/>
        </w:r>
        <w:r w:rsidR="001249F6">
          <w:rPr>
            <w:noProof/>
            <w:webHidden/>
          </w:rPr>
          <w:t>57</w:t>
        </w:r>
        <w:r w:rsidR="001249F6">
          <w:rPr>
            <w:noProof/>
            <w:webHidden/>
          </w:rPr>
          <w:fldChar w:fldCharType="end"/>
        </w:r>
      </w:hyperlink>
    </w:p>
    <w:p w14:paraId="74CB109E" w14:textId="79ADD97B" w:rsidR="001249F6" w:rsidRDefault="0073114B">
      <w:pPr>
        <w:pStyle w:val="TOC3"/>
        <w:tabs>
          <w:tab w:val="right" w:leader="dot" w:pos="9350"/>
        </w:tabs>
        <w:rPr>
          <w:rFonts w:asciiTheme="minorHAnsi" w:hAnsiTheme="minorHAnsi" w:cstheme="minorBidi"/>
          <w:noProof/>
          <w:lang w:val="en-AU" w:eastAsia="en-AU"/>
        </w:rPr>
      </w:pPr>
      <w:hyperlink w:anchor="_Toc501451688" w:history="1">
        <w:r w:rsidR="001249F6" w:rsidRPr="00B91A78">
          <w:rPr>
            <w:rStyle w:val="Hyperlink"/>
            <w:noProof/>
            <w:lang w:val="en-AU"/>
          </w:rPr>
          <w:t>Background gender analysis</w:t>
        </w:r>
        <w:r w:rsidR="001249F6">
          <w:rPr>
            <w:noProof/>
            <w:webHidden/>
          </w:rPr>
          <w:tab/>
        </w:r>
        <w:r w:rsidR="001249F6">
          <w:rPr>
            <w:noProof/>
            <w:webHidden/>
          </w:rPr>
          <w:fldChar w:fldCharType="begin"/>
        </w:r>
        <w:r w:rsidR="001249F6">
          <w:rPr>
            <w:noProof/>
            <w:webHidden/>
          </w:rPr>
          <w:instrText xml:space="preserve"> PAGEREF _Toc501451688 \h </w:instrText>
        </w:r>
        <w:r w:rsidR="001249F6">
          <w:rPr>
            <w:noProof/>
            <w:webHidden/>
          </w:rPr>
        </w:r>
        <w:r w:rsidR="001249F6">
          <w:rPr>
            <w:noProof/>
            <w:webHidden/>
          </w:rPr>
          <w:fldChar w:fldCharType="separate"/>
        </w:r>
        <w:r w:rsidR="001249F6">
          <w:rPr>
            <w:noProof/>
            <w:webHidden/>
          </w:rPr>
          <w:t>57</w:t>
        </w:r>
        <w:r w:rsidR="001249F6">
          <w:rPr>
            <w:noProof/>
            <w:webHidden/>
          </w:rPr>
          <w:fldChar w:fldCharType="end"/>
        </w:r>
      </w:hyperlink>
    </w:p>
    <w:p w14:paraId="2D49713D" w14:textId="0DE93AC6" w:rsidR="001249F6" w:rsidRDefault="0073114B">
      <w:pPr>
        <w:pStyle w:val="TOC3"/>
        <w:tabs>
          <w:tab w:val="right" w:leader="dot" w:pos="9350"/>
        </w:tabs>
        <w:rPr>
          <w:rFonts w:asciiTheme="minorHAnsi" w:hAnsiTheme="minorHAnsi" w:cstheme="minorBidi"/>
          <w:noProof/>
          <w:lang w:val="en-AU" w:eastAsia="en-AU"/>
        </w:rPr>
      </w:pPr>
      <w:hyperlink w:anchor="_Toc501451689" w:history="1">
        <w:r w:rsidR="001249F6" w:rsidRPr="00B91A78">
          <w:rPr>
            <w:rStyle w:val="Hyperlink"/>
            <w:noProof/>
            <w:lang w:val="en-AU"/>
          </w:rPr>
          <w:t>How the program will progress gender equality and the empowerment of women</w:t>
        </w:r>
        <w:r w:rsidR="001249F6">
          <w:rPr>
            <w:noProof/>
            <w:webHidden/>
          </w:rPr>
          <w:tab/>
        </w:r>
        <w:r w:rsidR="001249F6">
          <w:rPr>
            <w:noProof/>
            <w:webHidden/>
          </w:rPr>
          <w:fldChar w:fldCharType="begin"/>
        </w:r>
        <w:r w:rsidR="001249F6">
          <w:rPr>
            <w:noProof/>
            <w:webHidden/>
          </w:rPr>
          <w:instrText xml:space="preserve"> PAGEREF _Toc501451689 \h </w:instrText>
        </w:r>
        <w:r w:rsidR="001249F6">
          <w:rPr>
            <w:noProof/>
            <w:webHidden/>
          </w:rPr>
        </w:r>
        <w:r w:rsidR="001249F6">
          <w:rPr>
            <w:noProof/>
            <w:webHidden/>
          </w:rPr>
          <w:fldChar w:fldCharType="separate"/>
        </w:r>
        <w:r w:rsidR="001249F6">
          <w:rPr>
            <w:noProof/>
            <w:webHidden/>
          </w:rPr>
          <w:t>58</w:t>
        </w:r>
        <w:r w:rsidR="001249F6">
          <w:rPr>
            <w:noProof/>
            <w:webHidden/>
          </w:rPr>
          <w:fldChar w:fldCharType="end"/>
        </w:r>
      </w:hyperlink>
    </w:p>
    <w:p w14:paraId="758A041A" w14:textId="1AAC9875" w:rsidR="001249F6" w:rsidRDefault="0073114B">
      <w:pPr>
        <w:pStyle w:val="TOC1"/>
        <w:rPr>
          <w:rFonts w:asciiTheme="minorHAnsi" w:hAnsiTheme="minorHAnsi" w:cstheme="minorBidi"/>
          <w:noProof/>
          <w:lang w:val="en-AU" w:eastAsia="en-AU"/>
        </w:rPr>
      </w:pPr>
      <w:hyperlink w:anchor="_Toc501451690" w:history="1">
        <w:r w:rsidR="001249F6" w:rsidRPr="00B91A78">
          <w:rPr>
            <w:rStyle w:val="Hyperlink"/>
            <w:noProof/>
            <w:lang w:val="en-AU"/>
          </w:rPr>
          <w:t>Disability inclusion</w:t>
        </w:r>
        <w:r w:rsidR="001249F6">
          <w:rPr>
            <w:noProof/>
            <w:webHidden/>
          </w:rPr>
          <w:tab/>
        </w:r>
        <w:r w:rsidR="001249F6">
          <w:rPr>
            <w:noProof/>
            <w:webHidden/>
          </w:rPr>
          <w:fldChar w:fldCharType="begin"/>
        </w:r>
        <w:r w:rsidR="001249F6">
          <w:rPr>
            <w:noProof/>
            <w:webHidden/>
          </w:rPr>
          <w:instrText xml:space="preserve"> PAGEREF _Toc501451690 \h </w:instrText>
        </w:r>
        <w:r w:rsidR="001249F6">
          <w:rPr>
            <w:noProof/>
            <w:webHidden/>
          </w:rPr>
        </w:r>
        <w:r w:rsidR="001249F6">
          <w:rPr>
            <w:noProof/>
            <w:webHidden/>
          </w:rPr>
          <w:fldChar w:fldCharType="separate"/>
        </w:r>
        <w:r w:rsidR="001249F6">
          <w:rPr>
            <w:noProof/>
            <w:webHidden/>
          </w:rPr>
          <w:t>59</w:t>
        </w:r>
        <w:r w:rsidR="001249F6">
          <w:rPr>
            <w:noProof/>
            <w:webHidden/>
          </w:rPr>
          <w:fldChar w:fldCharType="end"/>
        </w:r>
      </w:hyperlink>
    </w:p>
    <w:p w14:paraId="4ACC5C92" w14:textId="115DB7CE" w:rsidR="001249F6" w:rsidRDefault="0073114B">
      <w:pPr>
        <w:pStyle w:val="TOC3"/>
        <w:tabs>
          <w:tab w:val="right" w:leader="dot" w:pos="9350"/>
        </w:tabs>
        <w:rPr>
          <w:rFonts w:asciiTheme="minorHAnsi" w:hAnsiTheme="minorHAnsi" w:cstheme="minorBidi"/>
          <w:noProof/>
          <w:lang w:val="en-AU" w:eastAsia="en-AU"/>
        </w:rPr>
      </w:pPr>
      <w:hyperlink w:anchor="_Toc501451691" w:history="1">
        <w:r w:rsidR="001249F6" w:rsidRPr="00B91A78">
          <w:rPr>
            <w:rStyle w:val="Hyperlink"/>
            <w:noProof/>
            <w:lang w:val="en-AU"/>
          </w:rPr>
          <w:t>Background analysis</w:t>
        </w:r>
        <w:r w:rsidR="001249F6">
          <w:rPr>
            <w:noProof/>
            <w:webHidden/>
          </w:rPr>
          <w:tab/>
        </w:r>
        <w:r w:rsidR="001249F6">
          <w:rPr>
            <w:noProof/>
            <w:webHidden/>
          </w:rPr>
          <w:fldChar w:fldCharType="begin"/>
        </w:r>
        <w:r w:rsidR="001249F6">
          <w:rPr>
            <w:noProof/>
            <w:webHidden/>
          </w:rPr>
          <w:instrText xml:space="preserve"> PAGEREF _Toc501451691 \h </w:instrText>
        </w:r>
        <w:r w:rsidR="001249F6">
          <w:rPr>
            <w:noProof/>
            <w:webHidden/>
          </w:rPr>
        </w:r>
        <w:r w:rsidR="001249F6">
          <w:rPr>
            <w:noProof/>
            <w:webHidden/>
          </w:rPr>
          <w:fldChar w:fldCharType="separate"/>
        </w:r>
        <w:r w:rsidR="001249F6">
          <w:rPr>
            <w:noProof/>
            <w:webHidden/>
          </w:rPr>
          <w:t>59</w:t>
        </w:r>
        <w:r w:rsidR="001249F6">
          <w:rPr>
            <w:noProof/>
            <w:webHidden/>
          </w:rPr>
          <w:fldChar w:fldCharType="end"/>
        </w:r>
      </w:hyperlink>
    </w:p>
    <w:p w14:paraId="1D082216" w14:textId="15ECFBCB" w:rsidR="001249F6" w:rsidRDefault="0073114B">
      <w:pPr>
        <w:pStyle w:val="TOC3"/>
        <w:tabs>
          <w:tab w:val="right" w:leader="dot" w:pos="9350"/>
        </w:tabs>
        <w:rPr>
          <w:rFonts w:asciiTheme="minorHAnsi" w:hAnsiTheme="minorHAnsi" w:cstheme="minorBidi"/>
          <w:noProof/>
          <w:lang w:val="en-AU" w:eastAsia="en-AU"/>
        </w:rPr>
      </w:pPr>
      <w:hyperlink w:anchor="_Toc501451692" w:history="1">
        <w:r w:rsidR="001249F6" w:rsidRPr="00B91A78">
          <w:rPr>
            <w:rStyle w:val="Hyperlink"/>
            <w:noProof/>
            <w:lang w:val="en-AU"/>
          </w:rPr>
          <w:t>How the program will progress disability inclusion</w:t>
        </w:r>
        <w:r w:rsidR="001249F6">
          <w:rPr>
            <w:noProof/>
            <w:webHidden/>
          </w:rPr>
          <w:tab/>
        </w:r>
        <w:r w:rsidR="001249F6">
          <w:rPr>
            <w:noProof/>
            <w:webHidden/>
          </w:rPr>
          <w:fldChar w:fldCharType="begin"/>
        </w:r>
        <w:r w:rsidR="001249F6">
          <w:rPr>
            <w:noProof/>
            <w:webHidden/>
          </w:rPr>
          <w:instrText xml:space="preserve"> PAGEREF _Toc501451692 \h </w:instrText>
        </w:r>
        <w:r w:rsidR="001249F6">
          <w:rPr>
            <w:noProof/>
            <w:webHidden/>
          </w:rPr>
        </w:r>
        <w:r w:rsidR="001249F6">
          <w:rPr>
            <w:noProof/>
            <w:webHidden/>
          </w:rPr>
          <w:fldChar w:fldCharType="separate"/>
        </w:r>
        <w:r w:rsidR="001249F6">
          <w:rPr>
            <w:noProof/>
            <w:webHidden/>
          </w:rPr>
          <w:t>59</w:t>
        </w:r>
        <w:r w:rsidR="001249F6">
          <w:rPr>
            <w:noProof/>
            <w:webHidden/>
          </w:rPr>
          <w:fldChar w:fldCharType="end"/>
        </w:r>
      </w:hyperlink>
    </w:p>
    <w:p w14:paraId="5C105FB0" w14:textId="4FD1A1E5" w:rsidR="001249F6" w:rsidRDefault="0073114B">
      <w:pPr>
        <w:pStyle w:val="TOC1"/>
        <w:rPr>
          <w:rFonts w:asciiTheme="minorHAnsi" w:hAnsiTheme="minorHAnsi" w:cstheme="minorBidi"/>
          <w:noProof/>
          <w:lang w:val="en-AU" w:eastAsia="en-AU"/>
        </w:rPr>
      </w:pPr>
      <w:hyperlink w:anchor="_Toc501451693" w:history="1">
        <w:r w:rsidR="001249F6" w:rsidRPr="00B91A78">
          <w:rPr>
            <w:rStyle w:val="Hyperlink"/>
            <w:noProof/>
            <w:lang w:val="en-AU"/>
          </w:rPr>
          <w:t>Risk Management Plan</w:t>
        </w:r>
        <w:r w:rsidR="001249F6">
          <w:rPr>
            <w:noProof/>
            <w:webHidden/>
          </w:rPr>
          <w:tab/>
        </w:r>
        <w:r w:rsidR="001249F6">
          <w:rPr>
            <w:noProof/>
            <w:webHidden/>
          </w:rPr>
          <w:fldChar w:fldCharType="begin"/>
        </w:r>
        <w:r w:rsidR="001249F6">
          <w:rPr>
            <w:noProof/>
            <w:webHidden/>
          </w:rPr>
          <w:instrText xml:space="preserve"> PAGEREF _Toc501451693 \h </w:instrText>
        </w:r>
        <w:r w:rsidR="001249F6">
          <w:rPr>
            <w:noProof/>
            <w:webHidden/>
          </w:rPr>
        </w:r>
        <w:r w:rsidR="001249F6">
          <w:rPr>
            <w:noProof/>
            <w:webHidden/>
          </w:rPr>
          <w:fldChar w:fldCharType="separate"/>
        </w:r>
        <w:r w:rsidR="001249F6">
          <w:rPr>
            <w:noProof/>
            <w:webHidden/>
          </w:rPr>
          <w:t>60</w:t>
        </w:r>
        <w:r w:rsidR="001249F6">
          <w:rPr>
            <w:noProof/>
            <w:webHidden/>
          </w:rPr>
          <w:fldChar w:fldCharType="end"/>
        </w:r>
      </w:hyperlink>
    </w:p>
    <w:p w14:paraId="7B33B787" w14:textId="2583C9EB" w:rsidR="001249F6" w:rsidRDefault="0073114B">
      <w:pPr>
        <w:pStyle w:val="TOC1"/>
        <w:rPr>
          <w:rFonts w:asciiTheme="minorHAnsi" w:hAnsiTheme="minorHAnsi" w:cstheme="minorBidi"/>
          <w:noProof/>
          <w:lang w:val="en-AU" w:eastAsia="en-AU"/>
        </w:rPr>
      </w:pPr>
      <w:hyperlink w:anchor="_Toc501451694" w:history="1">
        <w:r w:rsidR="001249F6" w:rsidRPr="00B91A78">
          <w:rPr>
            <w:rStyle w:val="Hyperlink"/>
            <w:noProof/>
            <w:lang w:val="en-AU"/>
          </w:rPr>
          <w:t>Safeguards</w:t>
        </w:r>
        <w:r w:rsidR="001249F6">
          <w:rPr>
            <w:noProof/>
            <w:webHidden/>
          </w:rPr>
          <w:tab/>
        </w:r>
        <w:r w:rsidR="001249F6">
          <w:rPr>
            <w:noProof/>
            <w:webHidden/>
          </w:rPr>
          <w:fldChar w:fldCharType="begin"/>
        </w:r>
        <w:r w:rsidR="001249F6">
          <w:rPr>
            <w:noProof/>
            <w:webHidden/>
          </w:rPr>
          <w:instrText xml:space="preserve"> PAGEREF _Toc501451694 \h </w:instrText>
        </w:r>
        <w:r w:rsidR="001249F6">
          <w:rPr>
            <w:noProof/>
            <w:webHidden/>
          </w:rPr>
        </w:r>
        <w:r w:rsidR="001249F6">
          <w:rPr>
            <w:noProof/>
            <w:webHidden/>
          </w:rPr>
          <w:fldChar w:fldCharType="separate"/>
        </w:r>
        <w:r w:rsidR="001249F6">
          <w:rPr>
            <w:noProof/>
            <w:webHidden/>
          </w:rPr>
          <w:t>61</w:t>
        </w:r>
        <w:r w:rsidR="001249F6">
          <w:rPr>
            <w:noProof/>
            <w:webHidden/>
          </w:rPr>
          <w:fldChar w:fldCharType="end"/>
        </w:r>
      </w:hyperlink>
    </w:p>
    <w:p w14:paraId="0A14B905" w14:textId="588E3545" w:rsidR="001249F6" w:rsidRDefault="0073114B">
      <w:pPr>
        <w:pStyle w:val="TOC1"/>
        <w:rPr>
          <w:rFonts w:asciiTheme="minorHAnsi" w:hAnsiTheme="minorHAnsi" w:cstheme="minorBidi"/>
          <w:noProof/>
          <w:lang w:val="en-AU" w:eastAsia="en-AU"/>
        </w:rPr>
      </w:pPr>
      <w:hyperlink w:anchor="_Toc501451695" w:history="1">
        <w:r w:rsidR="001249F6" w:rsidRPr="00B91A78">
          <w:rPr>
            <w:rStyle w:val="Hyperlink"/>
            <w:noProof/>
            <w:lang w:val="en-AU"/>
          </w:rPr>
          <w:t>Annexes</w:t>
        </w:r>
        <w:r w:rsidR="001249F6">
          <w:rPr>
            <w:noProof/>
            <w:webHidden/>
          </w:rPr>
          <w:tab/>
        </w:r>
        <w:r w:rsidR="001249F6">
          <w:rPr>
            <w:noProof/>
            <w:webHidden/>
          </w:rPr>
          <w:fldChar w:fldCharType="begin"/>
        </w:r>
        <w:r w:rsidR="001249F6">
          <w:rPr>
            <w:noProof/>
            <w:webHidden/>
          </w:rPr>
          <w:instrText xml:space="preserve"> PAGEREF _Toc501451695 \h </w:instrText>
        </w:r>
        <w:r w:rsidR="001249F6">
          <w:rPr>
            <w:noProof/>
            <w:webHidden/>
          </w:rPr>
        </w:r>
        <w:r w:rsidR="001249F6">
          <w:rPr>
            <w:noProof/>
            <w:webHidden/>
          </w:rPr>
          <w:fldChar w:fldCharType="separate"/>
        </w:r>
        <w:r w:rsidR="001249F6">
          <w:rPr>
            <w:noProof/>
            <w:webHidden/>
          </w:rPr>
          <w:t>62</w:t>
        </w:r>
        <w:r w:rsidR="001249F6">
          <w:rPr>
            <w:noProof/>
            <w:webHidden/>
          </w:rPr>
          <w:fldChar w:fldCharType="end"/>
        </w:r>
      </w:hyperlink>
    </w:p>
    <w:p w14:paraId="580ABBC6" w14:textId="0EFFAA1D" w:rsidR="001249F6" w:rsidRDefault="0073114B">
      <w:pPr>
        <w:pStyle w:val="TOC2"/>
        <w:rPr>
          <w:rFonts w:asciiTheme="minorHAnsi" w:hAnsiTheme="minorHAnsi" w:cstheme="minorBidi"/>
          <w:noProof/>
          <w:lang w:val="en-AU" w:eastAsia="en-AU"/>
        </w:rPr>
      </w:pPr>
      <w:hyperlink w:anchor="_Toc501451696" w:history="1">
        <w:r w:rsidR="001249F6" w:rsidRPr="00B91A78">
          <w:rPr>
            <w:rStyle w:val="Hyperlink"/>
            <w:noProof/>
            <w:lang w:val="en-AU"/>
          </w:rPr>
          <w:t>Annex 1 Program Objectives Outcomes and Indicators</w:t>
        </w:r>
        <w:r w:rsidR="001249F6">
          <w:rPr>
            <w:noProof/>
            <w:webHidden/>
          </w:rPr>
          <w:tab/>
        </w:r>
        <w:r w:rsidR="001249F6">
          <w:rPr>
            <w:noProof/>
            <w:webHidden/>
          </w:rPr>
          <w:fldChar w:fldCharType="begin"/>
        </w:r>
        <w:r w:rsidR="001249F6">
          <w:rPr>
            <w:noProof/>
            <w:webHidden/>
          </w:rPr>
          <w:instrText xml:space="preserve"> PAGEREF _Toc501451696 \h </w:instrText>
        </w:r>
        <w:r w:rsidR="001249F6">
          <w:rPr>
            <w:noProof/>
            <w:webHidden/>
          </w:rPr>
        </w:r>
        <w:r w:rsidR="001249F6">
          <w:rPr>
            <w:noProof/>
            <w:webHidden/>
          </w:rPr>
          <w:fldChar w:fldCharType="separate"/>
        </w:r>
        <w:r w:rsidR="001249F6">
          <w:rPr>
            <w:noProof/>
            <w:webHidden/>
          </w:rPr>
          <w:t>62</w:t>
        </w:r>
        <w:r w:rsidR="001249F6">
          <w:rPr>
            <w:noProof/>
            <w:webHidden/>
          </w:rPr>
          <w:fldChar w:fldCharType="end"/>
        </w:r>
      </w:hyperlink>
    </w:p>
    <w:p w14:paraId="2ED2754B" w14:textId="0C8543CA" w:rsidR="001249F6" w:rsidRDefault="0073114B">
      <w:pPr>
        <w:pStyle w:val="TOC2"/>
        <w:rPr>
          <w:rFonts w:asciiTheme="minorHAnsi" w:hAnsiTheme="minorHAnsi" w:cstheme="minorBidi"/>
          <w:noProof/>
          <w:lang w:val="en-AU" w:eastAsia="en-AU"/>
        </w:rPr>
      </w:pPr>
      <w:hyperlink w:anchor="_Toc501451697" w:history="1">
        <w:r w:rsidR="001249F6" w:rsidRPr="00B91A78">
          <w:rPr>
            <w:rStyle w:val="Hyperlink"/>
            <w:noProof/>
            <w:lang w:val="en-AU"/>
          </w:rPr>
          <w:t>Annex 2 AHP Lead NGOs, Consortia, Country partners</w:t>
        </w:r>
        <w:r w:rsidR="001249F6">
          <w:rPr>
            <w:noProof/>
            <w:webHidden/>
          </w:rPr>
          <w:tab/>
        </w:r>
        <w:r w:rsidR="001249F6">
          <w:rPr>
            <w:noProof/>
            <w:webHidden/>
          </w:rPr>
          <w:fldChar w:fldCharType="begin"/>
        </w:r>
        <w:r w:rsidR="001249F6">
          <w:rPr>
            <w:noProof/>
            <w:webHidden/>
          </w:rPr>
          <w:instrText xml:space="preserve"> PAGEREF _Toc501451697 \h </w:instrText>
        </w:r>
        <w:r w:rsidR="001249F6">
          <w:rPr>
            <w:noProof/>
            <w:webHidden/>
          </w:rPr>
        </w:r>
        <w:r w:rsidR="001249F6">
          <w:rPr>
            <w:noProof/>
            <w:webHidden/>
          </w:rPr>
          <w:fldChar w:fldCharType="separate"/>
        </w:r>
        <w:r w:rsidR="001249F6">
          <w:rPr>
            <w:noProof/>
            <w:webHidden/>
          </w:rPr>
          <w:t>62</w:t>
        </w:r>
        <w:r w:rsidR="001249F6">
          <w:rPr>
            <w:noProof/>
            <w:webHidden/>
          </w:rPr>
          <w:fldChar w:fldCharType="end"/>
        </w:r>
      </w:hyperlink>
    </w:p>
    <w:p w14:paraId="5AEA9A55" w14:textId="598F0D31" w:rsidR="001249F6" w:rsidRDefault="0073114B">
      <w:pPr>
        <w:pStyle w:val="TOC2"/>
        <w:rPr>
          <w:rFonts w:asciiTheme="minorHAnsi" w:hAnsiTheme="minorHAnsi" w:cstheme="minorBidi"/>
          <w:noProof/>
          <w:lang w:val="en-AU" w:eastAsia="en-AU"/>
        </w:rPr>
      </w:pPr>
      <w:hyperlink w:anchor="_Toc501451698" w:history="1">
        <w:r w:rsidR="001249F6" w:rsidRPr="00B91A78">
          <w:rPr>
            <w:rStyle w:val="Hyperlink"/>
            <w:noProof/>
            <w:lang w:val="en-AU"/>
          </w:rPr>
          <w:t>Annex 3 Design Process</w:t>
        </w:r>
        <w:r w:rsidR="001249F6">
          <w:rPr>
            <w:noProof/>
            <w:webHidden/>
          </w:rPr>
          <w:tab/>
        </w:r>
        <w:r w:rsidR="001249F6">
          <w:rPr>
            <w:noProof/>
            <w:webHidden/>
          </w:rPr>
          <w:fldChar w:fldCharType="begin"/>
        </w:r>
        <w:r w:rsidR="001249F6">
          <w:rPr>
            <w:noProof/>
            <w:webHidden/>
          </w:rPr>
          <w:instrText xml:space="preserve"> PAGEREF _Toc501451698 \h </w:instrText>
        </w:r>
        <w:r w:rsidR="001249F6">
          <w:rPr>
            <w:noProof/>
            <w:webHidden/>
          </w:rPr>
        </w:r>
        <w:r w:rsidR="001249F6">
          <w:rPr>
            <w:noProof/>
            <w:webHidden/>
          </w:rPr>
          <w:fldChar w:fldCharType="separate"/>
        </w:r>
        <w:r w:rsidR="001249F6">
          <w:rPr>
            <w:noProof/>
            <w:webHidden/>
          </w:rPr>
          <w:t>62</w:t>
        </w:r>
        <w:r w:rsidR="001249F6">
          <w:rPr>
            <w:noProof/>
            <w:webHidden/>
          </w:rPr>
          <w:fldChar w:fldCharType="end"/>
        </w:r>
      </w:hyperlink>
    </w:p>
    <w:p w14:paraId="752F91C8" w14:textId="01B65579" w:rsidR="001249F6" w:rsidRDefault="0073114B">
      <w:pPr>
        <w:pStyle w:val="TOC2"/>
        <w:rPr>
          <w:rFonts w:asciiTheme="minorHAnsi" w:hAnsiTheme="minorHAnsi" w:cstheme="minorBidi"/>
          <w:noProof/>
          <w:lang w:val="en-AU" w:eastAsia="en-AU"/>
        </w:rPr>
      </w:pPr>
      <w:hyperlink w:anchor="_Toc501451699" w:history="1">
        <w:r w:rsidR="001249F6" w:rsidRPr="00B91A78">
          <w:rPr>
            <w:rStyle w:val="Hyperlink"/>
            <w:noProof/>
            <w:lang w:val="en-AU"/>
          </w:rPr>
          <w:t>Annex 4 Design Guidelines</w:t>
        </w:r>
        <w:r w:rsidR="001249F6">
          <w:rPr>
            <w:noProof/>
            <w:webHidden/>
          </w:rPr>
          <w:tab/>
        </w:r>
        <w:r w:rsidR="001249F6">
          <w:rPr>
            <w:noProof/>
            <w:webHidden/>
          </w:rPr>
          <w:fldChar w:fldCharType="begin"/>
        </w:r>
        <w:r w:rsidR="001249F6">
          <w:rPr>
            <w:noProof/>
            <w:webHidden/>
          </w:rPr>
          <w:instrText xml:space="preserve"> PAGEREF _Toc501451699 \h </w:instrText>
        </w:r>
        <w:r w:rsidR="001249F6">
          <w:rPr>
            <w:noProof/>
            <w:webHidden/>
          </w:rPr>
        </w:r>
        <w:r w:rsidR="001249F6">
          <w:rPr>
            <w:noProof/>
            <w:webHidden/>
          </w:rPr>
          <w:fldChar w:fldCharType="separate"/>
        </w:r>
        <w:r w:rsidR="001249F6">
          <w:rPr>
            <w:noProof/>
            <w:webHidden/>
          </w:rPr>
          <w:t>62</w:t>
        </w:r>
        <w:r w:rsidR="001249F6">
          <w:rPr>
            <w:noProof/>
            <w:webHidden/>
          </w:rPr>
          <w:fldChar w:fldCharType="end"/>
        </w:r>
      </w:hyperlink>
    </w:p>
    <w:p w14:paraId="3CF89CDE" w14:textId="21BE25A4" w:rsidR="001249F6" w:rsidRDefault="0073114B">
      <w:pPr>
        <w:pStyle w:val="TOC2"/>
        <w:rPr>
          <w:rFonts w:asciiTheme="minorHAnsi" w:hAnsiTheme="minorHAnsi" w:cstheme="minorBidi"/>
          <w:noProof/>
          <w:lang w:val="en-AU" w:eastAsia="en-AU"/>
        </w:rPr>
      </w:pPr>
      <w:hyperlink w:anchor="_Toc501451700" w:history="1">
        <w:r w:rsidR="001249F6" w:rsidRPr="00B91A78">
          <w:rPr>
            <w:rStyle w:val="Hyperlink"/>
            <w:noProof/>
            <w:lang w:val="en-AU" w:eastAsia="en-AU"/>
          </w:rPr>
          <w:t>Annex 5 Evaluations and Reports Reviewed for Lessons</w:t>
        </w:r>
        <w:r w:rsidR="001249F6">
          <w:rPr>
            <w:noProof/>
            <w:webHidden/>
          </w:rPr>
          <w:tab/>
        </w:r>
        <w:r w:rsidR="001249F6">
          <w:rPr>
            <w:noProof/>
            <w:webHidden/>
          </w:rPr>
          <w:fldChar w:fldCharType="begin"/>
        </w:r>
        <w:r w:rsidR="001249F6">
          <w:rPr>
            <w:noProof/>
            <w:webHidden/>
          </w:rPr>
          <w:instrText xml:space="preserve"> PAGEREF _Toc501451700 \h </w:instrText>
        </w:r>
        <w:r w:rsidR="001249F6">
          <w:rPr>
            <w:noProof/>
            <w:webHidden/>
          </w:rPr>
        </w:r>
        <w:r w:rsidR="001249F6">
          <w:rPr>
            <w:noProof/>
            <w:webHidden/>
          </w:rPr>
          <w:fldChar w:fldCharType="separate"/>
        </w:r>
        <w:r w:rsidR="001249F6">
          <w:rPr>
            <w:noProof/>
            <w:webHidden/>
          </w:rPr>
          <w:t>62</w:t>
        </w:r>
        <w:r w:rsidR="001249F6">
          <w:rPr>
            <w:noProof/>
            <w:webHidden/>
          </w:rPr>
          <w:fldChar w:fldCharType="end"/>
        </w:r>
      </w:hyperlink>
    </w:p>
    <w:p w14:paraId="28A6CA31" w14:textId="72F06A73" w:rsidR="001249F6" w:rsidRDefault="0073114B">
      <w:pPr>
        <w:pStyle w:val="TOC2"/>
        <w:rPr>
          <w:rFonts w:asciiTheme="minorHAnsi" w:hAnsiTheme="minorHAnsi" w:cstheme="minorBidi"/>
          <w:noProof/>
          <w:lang w:val="en-AU" w:eastAsia="en-AU"/>
        </w:rPr>
      </w:pPr>
      <w:hyperlink w:anchor="_Toc501451701" w:history="1">
        <w:r w:rsidR="001249F6" w:rsidRPr="00B91A78">
          <w:rPr>
            <w:rStyle w:val="Hyperlink"/>
            <w:noProof/>
            <w:lang w:val="en-AU" w:eastAsia="en-AU"/>
          </w:rPr>
          <w:t>Annex 6 Summary of Activity plans (Sub Designs)</w:t>
        </w:r>
        <w:r w:rsidR="001249F6">
          <w:rPr>
            <w:noProof/>
            <w:webHidden/>
          </w:rPr>
          <w:tab/>
        </w:r>
        <w:r w:rsidR="001249F6">
          <w:rPr>
            <w:noProof/>
            <w:webHidden/>
          </w:rPr>
          <w:fldChar w:fldCharType="begin"/>
        </w:r>
        <w:r w:rsidR="001249F6">
          <w:rPr>
            <w:noProof/>
            <w:webHidden/>
          </w:rPr>
          <w:instrText xml:space="preserve"> PAGEREF _Toc501451701 \h </w:instrText>
        </w:r>
        <w:r w:rsidR="001249F6">
          <w:rPr>
            <w:noProof/>
            <w:webHidden/>
          </w:rPr>
        </w:r>
        <w:r w:rsidR="001249F6">
          <w:rPr>
            <w:noProof/>
            <w:webHidden/>
          </w:rPr>
          <w:fldChar w:fldCharType="separate"/>
        </w:r>
        <w:r w:rsidR="001249F6">
          <w:rPr>
            <w:noProof/>
            <w:webHidden/>
          </w:rPr>
          <w:t>62</w:t>
        </w:r>
        <w:r w:rsidR="001249F6">
          <w:rPr>
            <w:noProof/>
            <w:webHidden/>
          </w:rPr>
          <w:fldChar w:fldCharType="end"/>
        </w:r>
      </w:hyperlink>
    </w:p>
    <w:p w14:paraId="21A76F9A" w14:textId="7CDBBDCB" w:rsidR="001249F6" w:rsidRDefault="0073114B">
      <w:pPr>
        <w:pStyle w:val="TOC2"/>
        <w:rPr>
          <w:rFonts w:asciiTheme="minorHAnsi" w:hAnsiTheme="minorHAnsi" w:cstheme="minorBidi"/>
          <w:noProof/>
          <w:lang w:val="en-AU" w:eastAsia="en-AU"/>
        </w:rPr>
      </w:pPr>
      <w:hyperlink w:anchor="_Toc501451702" w:history="1">
        <w:r w:rsidR="001249F6" w:rsidRPr="00B91A78">
          <w:rPr>
            <w:rStyle w:val="Hyperlink"/>
            <w:noProof/>
            <w:lang w:val="en-AU" w:eastAsia="en-AU"/>
          </w:rPr>
          <w:t>Annex 7 Program Budget and YEAR 1 Budget Estimates</w:t>
        </w:r>
        <w:r w:rsidR="001249F6">
          <w:rPr>
            <w:noProof/>
            <w:webHidden/>
          </w:rPr>
          <w:tab/>
        </w:r>
        <w:r w:rsidR="001249F6">
          <w:rPr>
            <w:noProof/>
            <w:webHidden/>
          </w:rPr>
          <w:fldChar w:fldCharType="begin"/>
        </w:r>
        <w:r w:rsidR="001249F6">
          <w:rPr>
            <w:noProof/>
            <w:webHidden/>
          </w:rPr>
          <w:instrText xml:space="preserve"> PAGEREF _Toc501451702 \h </w:instrText>
        </w:r>
        <w:r w:rsidR="001249F6">
          <w:rPr>
            <w:noProof/>
            <w:webHidden/>
          </w:rPr>
        </w:r>
        <w:r w:rsidR="001249F6">
          <w:rPr>
            <w:noProof/>
            <w:webHidden/>
          </w:rPr>
          <w:fldChar w:fldCharType="separate"/>
        </w:r>
        <w:r w:rsidR="001249F6">
          <w:rPr>
            <w:noProof/>
            <w:webHidden/>
          </w:rPr>
          <w:t>62</w:t>
        </w:r>
        <w:r w:rsidR="001249F6">
          <w:rPr>
            <w:noProof/>
            <w:webHidden/>
          </w:rPr>
          <w:fldChar w:fldCharType="end"/>
        </w:r>
      </w:hyperlink>
    </w:p>
    <w:p w14:paraId="2F712A75" w14:textId="720BAAE8" w:rsidR="001249F6" w:rsidRDefault="0073114B">
      <w:pPr>
        <w:pStyle w:val="TOC2"/>
        <w:rPr>
          <w:rFonts w:asciiTheme="minorHAnsi" w:hAnsiTheme="minorHAnsi" w:cstheme="minorBidi"/>
          <w:noProof/>
          <w:lang w:val="en-AU" w:eastAsia="en-AU"/>
        </w:rPr>
      </w:pPr>
      <w:hyperlink w:anchor="_Toc501451703" w:history="1">
        <w:r w:rsidR="001249F6" w:rsidRPr="00B91A78">
          <w:rPr>
            <w:rStyle w:val="Hyperlink"/>
            <w:noProof/>
            <w:lang w:val="en-AU" w:eastAsia="en-AU"/>
          </w:rPr>
          <w:t>Annex 8 Program Timeline</w:t>
        </w:r>
        <w:r w:rsidR="001249F6">
          <w:rPr>
            <w:noProof/>
            <w:webHidden/>
          </w:rPr>
          <w:tab/>
        </w:r>
        <w:r w:rsidR="001249F6">
          <w:rPr>
            <w:noProof/>
            <w:webHidden/>
          </w:rPr>
          <w:fldChar w:fldCharType="begin"/>
        </w:r>
        <w:r w:rsidR="001249F6">
          <w:rPr>
            <w:noProof/>
            <w:webHidden/>
          </w:rPr>
          <w:instrText xml:space="preserve"> PAGEREF _Toc501451703 \h </w:instrText>
        </w:r>
        <w:r w:rsidR="001249F6">
          <w:rPr>
            <w:noProof/>
            <w:webHidden/>
          </w:rPr>
        </w:r>
        <w:r w:rsidR="001249F6">
          <w:rPr>
            <w:noProof/>
            <w:webHidden/>
          </w:rPr>
          <w:fldChar w:fldCharType="separate"/>
        </w:r>
        <w:r w:rsidR="001249F6">
          <w:rPr>
            <w:noProof/>
            <w:webHidden/>
          </w:rPr>
          <w:t>62</w:t>
        </w:r>
        <w:r w:rsidR="001249F6">
          <w:rPr>
            <w:noProof/>
            <w:webHidden/>
          </w:rPr>
          <w:fldChar w:fldCharType="end"/>
        </w:r>
      </w:hyperlink>
    </w:p>
    <w:p w14:paraId="2376973C" w14:textId="402013D2" w:rsidR="001249F6" w:rsidRDefault="0073114B">
      <w:pPr>
        <w:pStyle w:val="TOC2"/>
        <w:rPr>
          <w:rFonts w:asciiTheme="minorHAnsi" w:hAnsiTheme="minorHAnsi" w:cstheme="minorBidi"/>
          <w:noProof/>
          <w:lang w:val="en-AU" w:eastAsia="en-AU"/>
        </w:rPr>
      </w:pPr>
      <w:hyperlink w:anchor="_Toc501451704" w:history="1">
        <w:r w:rsidR="001249F6" w:rsidRPr="00B91A78">
          <w:rPr>
            <w:rStyle w:val="Hyperlink"/>
            <w:noProof/>
            <w:lang w:val="en-AU" w:eastAsia="en-AU"/>
          </w:rPr>
          <w:t>Annex 9 Gender Brief</w:t>
        </w:r>
        <w:r w:rsidR="001249F6">
          <w:rPr>
            <w:noProof/>
            <w:webHidden/>
          </w:rPr>
          <w:tab/>
        </w:r>
        <w:r w:rsidR="001249F6">
          <w:rPr>
            <w:noProof/>
            <w:webHidden/>
          </w:rPr>
          <w:fldChar w:fldCharType="begin"/>
        </w:r>
        <w:r w:rsidR="001249F6">
          <w:rPr>
            <w:noProof/>
            <w:webHidden/>
          </w:rPr>
          <w:instrText xml:space="preserve"> PAGEREF _Toc501451704 \h </w:instrText>
        </w:r>
        <w:r w:rsidR="001249F6">
          <w:rPr>
            <w:noProof/>
            <w:webHidden/>
          </w:rPr>
        </w:r>
        <w:r w:rsidR="001249F6">
          <w:rPr>
            <w:noProof/>
            <w:webHidden/>
          </w:rPr>
          <w:fldChar w:fldCharType="separate"/>
        </w:r>
        <w:r w:rsidR="001249F6">
          <w:rPr>
            <w:noProof/>
            <w:webHidden/>
          </w:rPr>
          <w:t>62</w:t>
        </w:r>
        <w:r w:rsidR="001249F6">
          <w:rPr>
            <w:noProof/>
            <w:webHidden/>
          </w:rPr>
          <w:fldChar w:fldCharType="end"/>
        </w:r>
      </w:hyperlink>
    </w:p>
    <w:p w14:paraId="17948C47" w14:textId="206BC7F9" w:rsidR="001249F6" w:rsidRDefault="0073114B">
      <w:pPr>
        <w:pStyle w:val="TOC2"/>
        <w:rPr>
          <w:rFonts w:asciiTheme="minorHAnsi" w:hAnsiTheme="minorHAnsi" w:cstheme="minorBidi"/>
          <w:noProof/>
          <w:lang w:val="en-AU" w:eastAsia="en-AU"/>
        </w:rPr>
      </w:pPr>
      <w:hyperlink w:anchor="_Toc501451705" w:history="1">
        <w:r w:rsidR="001249F6" w:rsidRPr="00B91A78">
          <w:rPr>
            <w:rStyle w:val="Hyperlink"/>
            <w:noProof/>
            <w:lang w:val="en-AU" w:eastAsia="en-AU"/>
          </w:rPr>
          <w:t>Annex 10 Disability-Inclusive DRR Primer</w:t>
        </w:r>
        <w:r w:rsidR="001249F6">
          <w:rPr>
            <w:noProof/>
            <w:webHidden/>
          </w:rPr>
          <w:tab/>
        </w:r>
        <w:r w:rsidR="001249F6">
          <w:rPr>
            <w:noProof/>
            <w:webHidden/>
          </w:rPr>
          <w:fldChar w:fldCharType="begin"/>
        </w:r>
        <w:r w:rsidR="001249F6">
          <w:rPr>
            <w:noProof/>
            <w:webHidden/>
          </w:rPr>
          <w:instrText xml:space="preserve"> PAGEREF _Toc501451705 \h </w:instrText>
        </w:r>
        <w:r w:rsidR="001249F6">
          <w:rPr>
            <w:noProof/>
            <w:webHidden/>
          </w:rPr>
        </w:r>
        <w:r w:rsidR="001249F6">
          <w:rPr>
            <w:noProof/>
            <w:webHidden/>
          </w:rPr>
          <w:fldChar w:fldCharType="separate"/>
        </w:r>
        <w:r w:rsidR="001249F6">
          <w:rPr>
            <w:noProof/>
            <w:webHidden/>
          </w:rPr>
          <w:t>62</w:t>
        </w:r>
        <w:r w:rsidR="001249F6">
          <w:rPr>
            <w:noProof/>
            <w:webHidden/>
          </w:rPr>
          <w:fldChar w:fldCharType="end"/>
        </w:r>
      </w:hyperlink>
    </w:p>
    <w:p w14:paraId="38D62B1A" w14:textId="2FEC2F1A" w:rsidR="001249F6" w:rsidRDefault="0073114B">
      <w:pPr>
        <w:pStyle w:val="TOC2"/>
        <w:rPr>
          <w:rFonts w:asciiTheme="minorHAnsi" w:hAnsiTheme="minorHAnsi" w:cstheme="minorBidi"/>
          <w:noProof/>
          <w:lang w:val="en-AU" w:eastAsia="en-AU"/>
        </w:rPr>
      </w:pPr>
      <w:hyperlink w:anchor="_Toc501451706" w:history="1">
        <w:r w:rsidR="001249F6" w:rsidRPr="00B91A78">
          <w:rPr>
            <w:rStyle w:val="Hyperlink"/>
            <w:noProof/>
            <w:lang w:val="en-AU" w:eastAsia="en-AU"/>
          </w:rPr>
          <w:t>Annex 11 Program Risk Register</w:t>
        </w:r>
        <w:r w:rsidR="001249F6">
          <w:rPr>
            <w:noProof/>
            <w:webHidden/>
          </w:rPr>
          <w:tab/>
        </w:r>
        <w:r w:rsidR="001249F6">
          <w:rPr>
            <w:noProof/>
            <w:webHidden/>
          </w:rPr>
          <w:fldChar w:fldCharType="begin"/>
        </w:r>
        <w:r w:rsidR="001249F6">
          <w:rPr>
            <w:noProof/>
            <w:webHidden/>
          </w:rPr>
          <w:instrText xml:space="preserve"> PAGEREF _Toc501451706 \h </w:instrText>
        </w:r>
        <w:r w:rsidR="001249F6">
          <w:rPr>
            <w:noProof/>
            <w:webHidden/>
          </w:rPr>
        </w:r>
        <w:r w:rsidR="001249F6">
          <w:rPr>
            <w:noProof/>
            <w:webHidden/>
          </w:rPr>
          <w:fldChar w:fldCharType="separate"/>
        </w:r>
        <w:r w:rsidR="001249F6">
          <w:rPr>
            <w:noProof/>
            <w:webHidden/>
          </w:rPr>
          <w:t>62</w:t>
        </w:r>
        <w:r w:rsidR="001249F6">
          <w:rPr>
            <w:noProof/>
            <w:webHidden/>
          </w:rPr>
          <w:fldChar w:fldCharType="end"/>
        </w:r>
      </w:hyperlink>
    </w:p>
    <w:p w14:paraId="0B405DD7" w14:textId="4017DD32" w:rsidR="001249F6" w:rsidRDefault="0073114B">
      <w:pPr>
        <w:pStyle w:val="TOC2"/>
        <w:rPr>
          <w:rFonts w:asciiTheme="minorHAnsi" w:hAnsiTheme="minorHAnsi" w:cstheme="minorBidi"/>
          <w:noProof/>
          <w:lang w:val="en-AU" w:eastAsia="en-AU"/>
        </w:rPr>
      </w:pPr>
      <w:hyperlink w:anchor="_Toc501451707" w:history="1">
        <w:r w:rsidR="001249F6" w:rsidRPr="00B91A78">
          <w:rPr>
            <w:rStyle w:val="Hyperlink"/>
            <w:noProof/>
            <w:lang w:val="en-AU" w:eastAsia="en-AU"/>
          </w:rPr>
          <w:t>Annex 12 Country Committee Members by Gender and Nationality</w:t>
        </w:r>
        <w:r w:rsidR="001249F6">
          <w:rPr>
            <w:noProof/>
            <w:webHidden/>
          </w:rPr>
          <w:tab/>
        </w:r>
        <w:r w:rsidR="001249F6">
          <w:rPr>
            <w:noProof/>
            <w:webHidden/>
          </w:rPr>
          <w:fldChar w:fldCharType="begin"/>
        </w:r>
        <w:r w:rsidR="001249F6">
          <w:rPr>
            <w:noProof/>
            <w:webHidden/>
          </w:rPr>
          <w:instrText xml:space="preserve"> PAGEREF _Toc501451707 \h </w:instrText>
        </w:r>
        <w:r w:rsidR="001249F6">
          <w:rPr>
            <w:noProof/>
            <w:webHidden/>
          </w:rPr>
        </w:r>
        <w:r w:rsidR="001249F6">
          <w:rPr>
            <w:noProof/>
            <w:webHidden/>
          </w:rPr>
          <w:fldChar w:fldCharType="separate"/>
        </w:r>
        <w:r w:rsidR="001249F6">
          <w:rPr>
            <w:noProof/>
            <w:webHidden/>
          </w:rPr>
          <w:t>62</w:t>
        </w:r>
        <w:r w:rsidR="001249F6">
          <w:rPr>
            <w:noProof/>
            <w:webHidden/>
          </w:rPr>
          <w:fldChar w:fldCharType="end"/>
        </w:r>
      </w:hyperlink>
    </w:p>
    <w:p w14:paraId="3F5CA8F8" w14:textId="4CB544AC" w:rsidR="001249F6" w:rsidRDefault="0073114B">
      <w:pPr>
        <w:pStyle w:val="TOC2"/>
        <w:rPr>
          <w:rFonts w:asciiTheme="minorHAnsi" w:hAnsiTheme="minorHAnsi" w:cstheme="minorBidi"/>
          <w:noProof/>
          <w:lang w:val="en-AU" w:eastAsia="en-AU"/>
        </w:rPr>
      </w:pPr>
      <w:hyperlink w:anchor="_Toc501451708" w:history="1">
        <w:r w:rsidR="001249F6" w:rsidRPr="00B91A78">
          <w:rPr>
            <w:rStyle w:val="Hyperlink"/>
            <w:noProof/>
            <w:lang w:val="en-AU" w:eastAsia="en-AU"/>
          </w:rPr>
          <w:t>Annex 13 Country Plans</w:t>
        </w:r>
        <w:r w:rsidR="001249F6">
          <w:rPr>
            <w:noProof/>
            <w:webHidden/>
          </w:rPr>
          <w:tab/>
        </w:r>
        <w:r w:rsidR="001249F6">
          <w:rPr>
            <w:noProof/>
            <w:webHidden/>
          </w:rPr>
          <w:fldChar w:fldCharType="begin"/>
        </w:r>
        <w:r w:rsidR="001249F6">
          <w:rPr>
            <w:noProof/>
            <w:webHidden/>
          </w:rPr>
          <w:instrText xml:space="preserve"> PAGEREF _Toc501451708 \h </w:instrText>
        </w:r>
        <w:r w:rsidR="001249F6">
          <w:rPr>
            <w:noProof/>
            <w:webHidden/>
          </w:rPr>
        </w:r>
        <w:r w:rsidR="001249F6">
          <w:rPr>
            <w:noProof/>
            <w:webHidden/>
          </w:rPr>
          <w:fldChar w:fldCharType="separate"/>
        </w:r>
        <w:r w:rsidR="001249F6">
          <w:rPr>
            <w:noProof/>
            <w:webHidden/>
          </w:rPr>
          <w:t>62</w:t>
        </w:r>
        <w:r w:rsidR="001249F6">
          <w:rPr>
            <w:noProof/>
            <w:webHidden/>
          </w:rPr>
          <w:fldChar w:fldCharType="end"/>
        </w:r>
      </w:hyperlink>
    </w:p>
    <w:p w14:paraId="298BD0C0" w14:textId="5B78E160" w:rsidR="00C604EE" w:rsidRPr="00394C86" w:rsidRDefault="00BE46E6">
      <w:pPr>
        <w:pStyle w:val="TOC2"/>
        <w:rPr>
          <w:lang w:val="en-AU"/>
        </w:rPr>
      </w:pPr>
      <w:r w:rsidRPr="00A048D6">
        <w:rPr>
          <w:lang w:val="en-AU"/>
        </w:rPr>
        <w:fldChar w:fldCharType="end"/>
      </w:r>
      <w:r w:rsidR="00C604EE" w:rsidRPr="00394C86">
        <w:rPr>
          <w:lang w:val="en-AU"/>
        </w:rPr>
        <w:br w:type="page"/>
      </w:r>
    </w:p>
    <w:p w14:paraId="794987FD" w14:textId="637CA989" w:rsidR="00BE46E6" w:rsidRPr="00394C86" w:rsidRDefault="00F62884" w:rsidP="00110706">
      <w:pPr>
        <w:pStyle w:val="Heading1"/>
        <w:rPr>
          <w:rFonts w:ascii="Calibri" w:hAnsi="Calibri" w:cs="Calibri"/>
          <w:lang w:val="en-AU"/>
        </w:rPr>
      </w:pPr>
      <w:bookmarkStart w:id="0" w:name="_Toc501451653"/>
      <w:r w:rsidRPr="00394C86">
        <w:rPr>
          <w:rFonts w:ascii="Calibri" w:hAnsi="Calibri" w:cs="Calibri"/>
          <w:lang w:val="en-AU"/>
        </w:rPr>
        <w:lastRenderedPageBreak/>
        <w:t>A</w:t>
      </w:r>
      <w:r w:rsidR="003A579B" w:rsidRPr="00394C86">
        <w:rPr>
          <w:rFonts w:ascii="Calibri" w:hAnsi="Calibri" w:cs="Calibri"/>
          <w:lang w:val="en-AU"/>
        </w:rPr>
        <w:t>cronyms</w:t>
      </w:r>
      <w:bookmarkEnd w:id="0"/>
    </w:p>
    <w:p w14:paraId="5D5E2022" w14:textId="1AB2B854" w:rsidR="00021F3E" w:rsidRPr="00394C86" w:rsidRDefault="00021F3E" w:rsidP="00656163">
      <w:pPr>
        <w:rPr>
          <w:lang w:val="en-AU"/>
        </w:rPr>
      </w:pPr>
      <w:r w:rsidRPr="00394C86">
        <w:rPr>
          <w:lang w:val="en-AU"/>
        </w:rPr>
        <w:t xml:space="preserve">ANCP </w:t>
      </w:r>
      <w:r w:rsidRPr="00394C86">
        <w:rPr>
          <w:lang w:val="en-AU"/>
        </w:rPr>
        <w:tab/>
      </w:r>
      <w:r w:rsidRPr="00394C86">
        <w:rPr>
          <w:lang w:val="en-AU"/>
        </w:rPr>
        <w:tab/>
        <w:t>Australian NGO Cooperation Program</w:t>
      </w:r>
    </w:p>
    <w:p w14:paraId="11985E61" w14:textId="1DD05BCA" w:rsidR="00656163" w:rsidRPr="00394C86" w:rsidRDefault="00656163" w:rsidP="00656163">
      <w:pPr>
        <w:rPr>
          <w:lang w:val="en-AU"/>
        </w:rPr>
      </w:pPr>
      <w:r w:rsidRPr="00394C86">
        <w:rPr>
          <w:lang w:val="en-AU"/>
        </w:rPr>
        <w:t>AHP</w:t>
      </w:r>
      <w:r w:rsidR="00F62884" w:rsidRPr="00394C86">
        <w:rPr>
          <w:lang w:val="en-AU"/>
        </w:rPr>
        <w:tab/>
      </w:r>
      <w:r w:rsidR="00AA7D81" w:rsidRPr="00394C86">
        <w:rPr>
          <w:lang w:val="en-AU"/>
        </w:rPr>
        <w:tab/>
      </w:r>
      <w:r w:rsidR="00F62884" w:rsidRPr="00394C86">
        <w:rPr>
          <w:lang w:val="en-AU"/>
        </w:rPr>
        <w:t>Australian Humanitarian Partnership</w:t>
      </w:r>
    </w:p>
    <w:p w14:paraId="7D152AFD" w14:textId="77777777" w:rsidR="006D6A38" w:rsidRPr="00394C86" w:rsidRDefault="00DA750F" w:rsidP="006D6A38">
      <w:pPr>
        <w:rPr>
          <w:lang w:val="en-AU"/>
        </w:rPr>
      </w:pPr>
      <w:r w:rsidRPr="00394C86">
        <w:rPr>
          <w:lang w:val="en-AU"/>
        </w:rPr>
        <w:t>AHP</w:t>
      </w:r>
      <w:r w:rsidR="005C098F" w:rsidRPr="00394C86">
        <w:rPr>
          <w:lang w:val="en-AU"/>
        </w:rPr>
        <w:t xml:space="preserve"> </w:t>
      </w:r>
      <w:r w:rsidRPr="00394C86">
        <w:rPr>
          <w:lang w:val="en-AU"/>
        </w:rPr>
        <w:t>SU</w:t>
      </w:r>
      <w:r w:rsidRPr="00394C86">
        <w:rPr>
          <w:lang w:val="en-AU"/>
        </w:rPr>
        <w:tab/>
      </w:r>
      <w:r w:rsidR="00AA7D81" w:rsidRPr="00394C86">
        <w:rPr>
          <w:lang w:val="en-AU"/>
        </w:rPr>
        <w:tab/>
      </w:r>
      <w:r w:rsidRPr="00394C86">
        <w:rPr>
          <w:lang w:val="en-AU"/>
        </w:rPr>
        <w:t>Australian Humanitarian Partnership Support Unit</w:t>
      </w:r>
      <w:r w:rsidR="006D6A38" w:rsidRPr="00394C86">
        <w:rPr>
          <w:lang w:val="en-AU"/>
        </w:rPr>
        <w:t xml:space="preserve"> </w:t>
      </w:r>
    </w:p>
    <w:p w14:paraId="627D75F3" w14:textId="27604461" w:rsidR="00E607E3" w:rsidRPr="00394C86" w:rsidRDefault="00E607E3" w:rsidP="006D6A38">
      <w:pPr>
        <w:rPr>
          <w:lang w:val="en-AU"/>
        </w:rPr>
      </w:pPr>
      <w:r w:rsidRPr="00394C86">
        <w:rPr>
          <w:lang w:val="en-AU"/>
        </w:rPr>
        <w:t>AS HMB</w:t>
      </w:r>
      <w:r w:rsidR="00B56197" w:rsidRPr="00394C86">
        <w:rPr>
          <w:lang w:val="en-AU"/>
        </w:rPr>
        <w:tab/>
        <w:t>Assistant Secretary, Humanitarian Response, Risk and Recovery Branch, DFAT</w:t>
      </w:r>
    </w:p>
    <w:p w14:paraId="7099DDF1" w14:textId="0B9533CA" w:rsidR="006D6A38" w:rsidRPr="00394C86" w:rsidRDefault="006D6A38" w:rsidP="006D6A38">
      <w:pPr>
        <w:rPr>
          <w:lang w:val="en-AU"/>
        </w:rPr>
      </w:pPr>
      <w:r w:rsidRPr="00394C86">
        <w:rPr>
          <w:lang w:val="en-AU"/>
        </w:rPr>
        <w:t>CBDRM</w:t>
      </w:r>
      <w:r w:rsidRPr="00394C86">
        <w:rPr>
          <w:lang w:val="en-AU"/>
        </w:rPr>
        <w:tab/>
      </w:r>
      <w:r w:rsidRPr="00394C86">
        <w:rPr>
          <w:lang w:val="en-AU"/>
        </w:rPr>
        <w:tab/>
      </w:r>
      <w:r w:rsidR="00260C4C" w:rsidRPr="00394C86">
        <w:rPr>
          <w:lang w:val="en-AU"/>
        </w:rPr>
        <w:t>c</w:t>
      </w:r>
      <w:r w:rsidRPr="00394C86">
        <w:rPr>
          <w:lang w:val="en-AU"/>
        </w:rPr>
        <w:t>ommunity</w:t>
      </w:r>
      <w:r w:rsidR="00BC5AC2" w:rsidRPr="00394C86">
        <w:rPr>
          <w:lang w:val="en-AU"/>
        </w:rPr>
        <w:t>-</w:t>
      </w:r>
      <w:r w:rsidR="00260C4C" w:rsidRPr="00394C86">
        <w:rPr>
          <w:lang w:val="en-AU"/>
        </w:rPr>
        <w:t>b</w:t>
      </w:r>
      <w:r w:rsidRPr="00394C86">
        <w:rPr>
          <w:lang w:val="en-AU"/>
        </w:rPr>
        <w:t xml:space="preserve">ased </w:t>
      </w:r>
      <w:r w:rsidR="00260C4C" w:rsidRPr="00394C86">
        <w:rPr>
          <w:lang w:val="en-AU"/>
        </w:rPr>
        <w:t>d</w:t>
      </w:r>
      <w:r w:rsidRPr="00394C86">
        <w:rPr>
          <w:lang w:val="en-AU"/>
        </w:rPr>
        <w:t xml:space="preserve">isaster </w:t>
      </w:r>
      <w:r w:rsidR="00260C4C" w:rsidRPr="00394C86">
        <w:rPr>
          <w:lang w:val="en-AU"/>
        </w:rPr>
        <w:t>r</w:t>
      </w:r>
      <w:r w:rsidRPr="00394C86">
        <w:rPr>
          <w:lang w:val="en-AU"/>
        </w:rPr>
        <w:t xml:space="preserve">isk </w:t>
      </w:r>
      <w:r w:rsidR="00260C4C" w:rsidRPr="00394C86">
        <w:rPr>
          <w:lang w:val="en-AU"/>
        </w:rPr>
        <w:t>m</w:t>
      </w:r>
      <w:r w:rsidRPr="00394C86">
        <w:rPr>
          <w:lang w:val="en-AU"/>
        </w:rPr>
        <w:t>anagement</w:t>
      </w:r>
    </w:p>
    <w:p w14:paraId="17C7C74C" w14:textId="53E84969" w:rsidR="006D6A38" w:rsidRPr="00394C86" w:rsidRDefault="006D6A38" w:rsidP="0073093C">
      <w:pPr>
        <w:ind w:left="1440" w:hanging="1440"/>
        <w:rPr>
          <w:lang w:val="en-AU"/>
        </w:rPr>
      </w:pPr>
      <w:r w:rsidRPr="00394C86">
        <w:rPr>
          <w:lang w:val="en-AU"/>
        </w:rPr>
        <w:t>CBM</w:t>
      </w:r>
      <w:r w:rsidRPr="00394C86">
        <w:rPr>
          <w:lang w:val="en-AU"/>
        </w:rPr>
        <w:tab/>
      </w:r>
      <w:proofErr w:type="spellStart"/>
      <w:r w:rsidRPr="00394C86">
        <w:rPr>
          <w:lang w:val="en-AU"/>
        </w:rPr>
        <w:t>CBM</w:t>
      </w:r>
      <w:proofErr w:type="spellEnd"/>
      <w:r w:rsidR="001C010A" w:rsidRPr="00394C86">
        <w:rPr>
          <w:lang w:val="en-AU"/>
        </w:rPr>
        <w:t xml:space="preserve"> Australia</w:t>
      </w:r>
      <w:r w:rsidRPr="00394C86">
        <w:rPr>
          <w:lang w:val="en-AU"/>
        </w:rPr>
        <w:t xml:space="preserve"> is </w:t>
      </w:r>
      <w:r w:rsidR="007C6B5A" w:rsidRPr="00394C86">
        <w:rPr>
          <w:lang w:val="en-AU"/>
        </w:rPr>
        <w:t xml:space="preserve">an </w:t>
      </w:r>
      <w:r w:rsidRPr="00394C86">
        <w:rPr>
          <w:lang w:val="en-AU"/>
        </w:rPr>
        <w:t xml:space="preserve">organisation focused </w:t>
      </w:r>
      <w:r w:rsidR="001C010A" w:rsidRPr="00394C86">
        <w:rPr>
          <w:lang w:val="en-AU"/>
        </w:rPr>
        <w:t xml:space="preserve">on </w:t>
      </w:r>
      <w:r w:rsidRPr="00394C86">
        <w:rPr>
          <w:lang w:val="en-AU"/>
        </w:rPr>
        <w:t xml:space="preserve">disability </w:t>
      </w:r>
      <w:r w:rsidR="001C010A" w:rsidRPr="00394C86">
        <w:rPr>
          <w:lang w:val="en-AU"/>
        </w:rPr>
        <w:t>in developing countries</w:t>
      </w:r>
    </w:p>
    <w:p w14:paraId="0F8EEB16" w14:textId="69F4AE05" w:rsidR="00D25377" w:rsidRPr="00394C86" w:rsidRDefault="00D25377" w:rsidP="00110706">
      <w:pPr>
        <w:rPr>
          <w:lang w:val="en-AU"/>
        </w:rPr>
      </w:pPr>
      <w:r w:rsidRPr="00394C86">
        <w:rPr>
          <w:lang w:val="en-AU"/>
        </w:rPr>
        <w:t>CCA</w:t>
      </w:r>
      <w:r w:rsidRPr="00394C86">
        <w:rPr>
          <w:lang w:val="en-AU"/>
        </w:rPr>
        <w:tab/>
      </w:r>
      <w:r w:rsidR="00AA7D81" w:rsidRPr="00394C86">
        <w:rPr>
          <w:lang w:val="en-AU"/>
        </w:rPr>
        <w:tab/>
      </w:r>
      <w:r w:rsidR="00260C4C" w:rsidRPr="00394C86">
        <w:rPr>
          <w:lang w:val="en-AU"/>
        </w:rPr>
        <w:t>c</w:t>
      </w:r>
      <w:r w:rsidRPr="00394C86">
        <w:rPr>
          <w:lang w:val="en-AU"/>
        </w:rPr>
        <w:t xml:space="preserve">limate </w:t>
      </w:r>
      <w:r w:rsidR="00260C4C" w:rsidRPr="00394C86">
        <w:rPr>
          <w:lang w:val="en-AU"/>
        </w:rPr>
        <w:t>c</w:t>
      </w:r>
      <w:r w:rsidRPr="00394C86">
        <w:rPr>
          <w:lang w:val="en-AU"/>
        </w:rPr>
        <w:t xml:space="preserve">hange </w:t>
      </w:r>
      <w:r w:rsidR="00260C4C" w:rsidRPr="00394C86">
        <w:rPr>
          <w:lang w:val="en-AU"/>
        </w:rPr>
        <w:t>a</w:t>
      </w:r>
      <w:r w:rsidRPr="00394C86">
        <w:rPr>
          <w:lang w:val="en-AU"/>
        </w:rPr>
        <w:t>daptation</w:t>
      </w:r>
    </w:p>
    <w:p w14:paraId="54CB19B9" w14:textId="1D6D3A0A" w:rsidR="00DB3282" w:rsidRPr="00394C86" w:rsidRDefault="00681387" w:rsidP="00110706">
      <w:pPr>
        <w:rPr>
          <w:lang w:val="en-AU"/>
        </w:rPr>
      </w:pPr>
      <w:r w:rsidRPr="00394C86">
        <w:rPr>
          <w:lang w:val="en-AU"/>
        </w:rPr>
        <w:t xml:space="preserve">DFAT </w:t>
      </w:r>
      <w:r w:rsidRPr="00394C86">
        <w:rPr>
          <w:lang w:val="en-AU"/>
        </w:rPr>
        <w:tab/>
      </w:r>
      <w:r w:rsidRPr="00394C86">
        <w:rPr>
          <w:lang w:val="en-AU"/>
        </w:rPr>
        <w:tab/>
        <w:t xml:space="preserve">Department of Foreign Affairs and Trade </w:t>
      </w:r>
      <w:r w:rsidR="00413EA6" w:rsidRPr="00394C86">
        <w:rPr>
          <w:lang w:val="en-AU"/>
        </w:rPr>
        <w:t>of the Australian Government</w:t>
      </w:r>
    </w:p>
    <w:p w14:paraId="5C86F8DA" w14:textId="6C4834E7" w:rsidR="00681387" w:rsidRPr="00394C86" w:rsidRDefault="00DB3282" w:rsidP="00110706">
      <w:pPr>
        <w:rPr>
          <w:lang w:val="en-AU"/>
        </w:rPr>
      </w:pPr>
      <w:proofErr w:type="spellStart"/>
      <w:r w:rsidRPr="00394C86">
        <w:rPr>
          <w:lang w:val="en-AU"/>
        </w:rPr>
        <w:t>DiDRR</w:t>
      </w:r>
      <w:proofErr w:type="spellEnd"/>
      <w:r w:rsidRPr="00394C86">
        <w:rPr>
          <w:lang w:val="en-AU"/>
        </w:rPr>
        <w:t xml:space="preserve"> </w:t>
      </w:r>
      <w:r w:rsidRPr="00394C86">
        <w:rPr>
          <w:lang w:val="en-AU"/>
        </w:rPr>
        <w:tab/>
      </w:r>
      <w:r w:rsidRPr="00394C86">
        <w:rPr>
          <w:lang w:val="en-AU"/>
        </w:rPr>
        <w:tab/>
      </w:r>
      <w:r w:rsidR="00A35A2E">
        <w:rPr>
          <w:lang w:val="en-AU"/>
        </w:rPr>
        <w:t>d</w:t>
      </w:r>
      <w:r w:rsidRPr="00394C86">
        <w:rPr>
          <w:lang w:val="en-AU"/>
        </w:rPr>
        <w:t>isability</w:t>
      </w:r>
      <w:r w:rsidR="00BC5AC2" w:rsidRPr="00394C86">
        <w:rPr>
          <w:lang w:val="en-AU"/>
        </w:rPr>
        <w:t>-</w:t>
      </w:r>
      <w:r w:rsidRPr="00394C86">
        <w:rPr>
          <w:lang w:val="en-AU"/>
        </w:rPr>
        <w:t>inclusive disaster risk reduction</w:t>
      </w:r>
    </w:p>
    <w:p w14:paraId="7F160C1B" w14:textId="2ECECD46" w:rsidR="00DB3282" w:rsidRPr="00394C86" w:rsidRDefault="00DB3282" w:rsidP="00110706">
      <w:pPr>
        <w:rPr>
          <w:lang w:val="en-AU"/>
        </w:rPr>
      </w:pPr>
      <w:r w:rsidRPr="00394C86">
        <w:rPr>
          <w:lang w:val="en-AU"/>
        </w:rPr>
        <w:t>DPO</w:t>
      </w:r>
      <w:r w:rsidRPr="00394C86">
        <w:rPr>
          <w:lang w:val="en-AU"/>
        </w:rPr>
        <w:tab/>
      </w:r>
      <w:r w:rsidRPr="00394C86">
        <w:rPr>
          <w:lang w:val="en-AU"/>
        </w:rPr>
        <w:tab/>
      </w:r>
      <w:r w:rsidR="00413EA6" w:rsidRPr="00394C86">
        <w:rPr>
          <w:lang w:val="en-AU"/>
        </w:rPr>
        <w:t>d</w:t>
      </w:r>
      <w:r w:rsidRPr="00394C86">
        <w:rPr>
          <w:lang w:val="en-AU"/>
        </w:rPr>
        <w:t xml:space="preserve">isabled </w:t>
      </w:r>
      <w:r w:rsidR="00413EA6" w:rsidRPr="00394C86">
        <w:rPr>
          <w:lang w:val="en-AU"/>
        </w:rPr>
        <w:t>p</w:t>
      </w:r>
      <w:r w:rsidRPr="00394C86">
        <w:rPr>
          <w:lang w:val="en-AU"/>
        </w:rPr>
        <w:t>eople</w:t>
      </w:r>
      <w:r w:rsidR="00FC7B6B" w:rsidRPr="00394C86">
        <w:rPr>
          <w:lang w:val="en-AU"/>
        </w:rPr>
        <w:t>’</w:t>
      </w:r>
      <w:r w:rsidRPr="00394C86">
        <w:rPr>
          <w:lang w:val="en-AU"/>
        </w:rPr>
        <w:t xml:space="preserve">s </w:t>
      </w:r>
      <w:r w:rsidR="00413EA6" w:rsidRPr="00394C86">
        <w:rPr>
          <w:lang w:val="en-AU"/>
        </w:rPr>
        <w:t>o</w:t>
      </w:r>
      <w:r w:rsidRPr="00394C86">
        <w:rPr>
          <w:lang w:val="en-AU"/>
        </w:rPr>
        <w:t xml:space="preserve">rganisation </w:t>
      </w:r>
    </w:p>
    <w:p w14:paraId="0A7AA579" w14:textId="4335EA75" w:rsidR="00F62884" w:rsidRPr="00394C86" w:rsidRDefault="00656163" w:rsidP="00F62884">
      <w:pPr>
        <w:rPr>
          <w:lang w:val="en-AU"/>
        </w:rPr>
      </w:pPr>
      <w:r w:rsidRPr="00394C86">
        <w:rPr>
          <w:lang w:val="en-AU"/>
        </w:rPr>
        <w:t>DRR</w:t>
      </w:r>
      <w:r w:rsidR="00F62884" w:rsidRPr="00394C86">
        <w:rPr>
          <w:lang w:val="en-AU"/>
        </w:rPr>
        <w:t xml:space="preserve"> </w:t>
      </w:r>
      <w:r w:rsidR="00F62884" w:rsidRPr="00394C86">
        <w:rPr>
          <w:lang w:val="en-AU"/>
        </w:rPr>
        <w:tab/>
      </w:r>
      <w:r w:rsidR="00AA7D81" w:rsidRPr="00394C86">
        <w:rPr>
          <w:lang w:val="en-AU"/>
        </w:rPr>
        <w:tab/>
      </w:r>
      <w:r w:rsidR="00413EA6" w:rsidRPr="00394C86">
        <w:rPr>
          <w:lang w:val="en-AU"/>
        </w:rPr>
        <w:t>d</w:t>
      </w:r>
      <w:r w:rsidR="00F62884" w:rsidRPr="00394C86">
        <w:rPr>
          <w:lang w:val="en-AU"/>
        </w:rPr>
        <w:t xml:space="preserve">isaster </w:t>
      </w:r>
      <w:r w:rsidR="00413EA6" w:rsidRPr="00394C86">
        <w:rPr>
          <w:lang w:val="en-AU"/>
        </w:rPr>
        <w:t>r</w:t>
      </w:r>
      <w:r w:rsidR="00F62884" w:rsidRPr="00394C86">
        <w:rPr>
          <w:lang w:val="en-AU"/>
        </w:rPr>
        <w:t xml:space="preserve">isk </w:t>
      </w:r>
      <w:r w:rsidR="00413EA6" w:rsidRPr="00394C86">
        <w:rPr>
          <w:lang w:val="en-AU"/>
        </w:rPr>
        <w:t>r</w:t>
      </w:r>
      <w:r w:rsidR="00F62884" w:rsidRPr="00394C86">
        <w:rPr>
          <w:lang w:val="en-AU"/>
        </w:rPr>
        <w:t>eduction</w:t>
      </w:r>
    </w:p>
    <w:p w14:paraId="1EBDAC2F" w14:textId="0FE17968" w:rsidR="00E607E3" w:rsidRPr="00394C86" w:rsidRDefault="00E607E3" w:rsidP="00110706">
      <w:pPr>
        <w:rPr>
          <w:lang w:val="en-AU"/>
        </w:rPr>
      </w:pPr>
      <w:r w:rsidRPr="00394C86">
        <w:rPr>
          <w:lang w:val="en-AU"/>
        </w:rPr>
        <w:t>FAS HPD</w:t>
      </w:r>
      <w:r w:rsidR="0003729D" w:rsidRPr="00394C86">
        <w:rPr>
          <w:lang w:val="en-AU"/>
        </w:rPr>
        <w:tab/>
        <w:t>First Assistant Secret</w:t>
      </w:r>
      <w:r w:rsidR="00E5792B" w:rsidRPr="00394C86">
        <w:rPr>
          <w:lang w:val="en-AU"/>
        </w:rPr>
        <w:t>ary, Humanitarian, NGOs and Partnership Division, DFAT</w:t>
      </w:r>
    </w:p>
    <w:p w14:paraId="2C9027B7" w14:textId="12A4FD46" w:rsidR="00E607E3" w:rsidRPr="00394C86" w:rsidRDefault="00E607E3" w:rsidP="00110706">
      <w:pPr>
        <w:rPr>
          <w:lang w:val="en-AU"/>
        </w:rPr>
      </w:pPr>
      <w:r w:rsidRPr="00394C86">
        <w:rPr>
          <w:lang w:val="en-AU"/>
        </w:rPr>
        <w:t>HRS</w:t>
      </w:r>
      <w:r w:rsidR="00E5792B" w:rsidRPr="00394C86">
        <w:rPr>
          <w:lang w:val="en-AU"/>
        </w:rPr>
        <w:tab/>
      </w:r>
      <w:r w:rsidR="00E5792B" w:rsidRPr="00394C86">
        <w:rPr>
          <w:lang w:val="en-AU"/>
        </w:rPr>
        <w:tab/>
        <w:t xml:space="preserve">Humanitarian </w:t>
      </w:r>
      <w:r w:rsidR="00F06972" w:rsidRPr="00394C86">
        <w:rPr>
          <w:lang w:val="en-AU"/>
        </w:rPr>
        <w:t xml:space="preserve">Preparedness and </w:t>
      </w:r>
      <w:r w:rsidR="00E5792B" w:rsidRPr="00394C86">
        <w:rPr>
          <w:lang w:val="en-AU"/>
        </w:rPr>
        <w:t>Response Section, DFAT</w:t>
      </w:r>
    </w:p>
    <w:p w14:paraId="5AF66276" w14:textId="31506BB3" w:rsidR="003C6EF0" w:rsidRPr="00394C86" w:rsidRDefault="003C6EF0" w:rsidP="00110706">
      <w:pPr>
        <w:rPr>
          <w:lang w:val="en-AU"/>
        </w:rPr>
      </w:pPr>
      <w:r w:rsidRPr="00394C86">
        <w:rPr>
          <w:lang w:val="en-AU"/>
        </w:rPr>
        <w:t>HPA</w:t>
      </w:r>
      <w:r w:rsidRPr="00394C86">
        <w:rPr>
          <w:lang w:val="en-AU"/>
        </w:rPr>
        <w:tab/>
      </w:r>
      <w:r w:rsidR="00AA7D81" w:rsidRPr="00394C86">
        <w:rPr>
          <w:lang w:val="en-AU"/>
        </w:rPr>
        <w:tab/>
      </w:r>
      <w:r w:rsidRPr="00394C86">
        <w:rPr>
          <w:lang w:val="en-AU"/>
        </w:rPr>
        <w:t>Humanitarian Partnership Agreement</w:t>
      </w:r>
    </w:p>
    <w:p w14:paraId="64923A8B" w14:textId="2F4CEB96" w:rsidR="007966F1" w:rsidRPr="00394C86" w:rsidRDefault="007966F1" w:rsidP="00110706">
      <w:pPr>
        <w:rPr>
          <w:lang w:val="en-AU"/>
        </w:rPr>
      </w:pPr>
      <w:r w:rsidRPr="00394C86">
        <w:rPr>
          <w:lang w:val="en-AU"/>
        </w:rPr>
        <w:t xml:space="preserve">INGO </w:t>
      </w:r>
      <w:r w:rsidRPr="00394C86">
        <w:rPr>
          <w:lang w:val="en-AU"/>
        </w:rPr>
        <w:tab/>
      </w:r>
      <w:r w:rsidRPr="00394C86">
        <w:rPr>
          <w:lang w:val="en-AU"/>
        </w:rPr>
        <w:tab/>
      </w:r>
      <w:r w:rsidR="00260C4C" w:rsidRPr="00394C86">
        <w:rPr>
          <w:lang w:val="en-AU"/>
        </w:rPr>
        <w:t>i</w:t>
      </w:r>
      <w:r w:rsidRPr="00394C86">
        <w:rPr>
          <w:lang w:val="en-AU"/>
        </w:rPr>
        <w:t xml:space="preserve">nternational </w:t>
      </w:r>
      <w:r w:rsidR="00260C4C" w:rsidRPr="00394C86">
        <w:rPr>
          <w:lang w:val="en-AU"/>
        </w:rPr>
        <w:t>n</w:t>
      </w:r>
      <w:r w:rsidRPr="00394C86">
        <w:rPr>
          <w:lang w:val="en-AU"/>
        </w:rPr>
        <w:t>on-</w:t>
      </w:r>
      <w:r w:rsidR="00260C4C" w:rsidRPr="00394C86">
        <w:rPr>
          <w:lang w:val="en-AU"/>
        </w:rPr>
        <w:t>g</w:t>
      </w:r>
      <w:r w:rsidRPr="00394C86">
        <w:rPr>
          <w:lang w:val="en-AU"/>
        </w:rPr>
        <w:t xml:space="preserve">overnment </w:t>
      </w:r>
      <w:r w:rsidR="00260C4C" w:rsidRPr="00394C86">
        <w:rPr>
          <w:lang w:val="en-AU"/>
        </w:rPr>
        <w:t>o</w:t>
      </w:r>
      <w:r w:rsidRPr="00394C86">
        <w:rPr>
          <w:lang w:val="en-AU"/>
        </w:rPr>
        <w:t xml:space="preserve">rganisation </w:t>
      </w:r>
    </w:p>
    <w:p w14:paraId="4EF46CF1" w14:textId="77916BE8" w:rsidR="0003729D" w:rsidRPr="00394C86" w:rsidRDefault="0003729D" w:rsidP="00110706">
      <w:pPr>
        <w:rPr>
          <w:lang w:val="en-AU"/>
        </w:rPr>
      </w:pPr>
      <w:r w:rsidRPr="00394C86">
        <w:rPr>
          <w:lang w:val="en-AU"/>
        </w:rPr>
        <w:t>M&amp;E</w:t>
      </w:r>
      <w:r w:rsidRPr="00394C86">
        <w:rPr>
          <w:lang w:val="en-AU"/>
        </w:rPr>
        <w:tab/>
      </w:r>
      <w:r w:rsidRPr="00394C86">
        <w:rPr>
          <w:lang w:val="en-AU"/>
        </w:rPr>
        <w:tab/>
      </w:r>
      <w:r w:rsidR="00413EA6" w:rsidRPr="00394C86">
        <w:rPr>
          <w:lang w:val="en-AU"/>
        </w:rPr>
        <w:t>m</w:t>
      </w:r>
      <w:r w:rsidRPr="00394C86">
        <w:rPr>
          <w:lang w:val="en-AU"/>
        </w:rPr>
        <w:t xml:space="preserve">onitoring and </w:t>
      </w:r>
      <w:r w:rsidR="00413EA6" w:rsidRPr="00394C86">
        <w:rPr>
          <w:lang w:val="en-AU"/>
        </w:rPr>
        <w:t>e</w:t>
      </w:r>
      <w:r w:rsidRPr="00394C86">
        <w:rPr>
          <w:lang w:val="en-AU"/>
        </w:rPr>
        <w:t>valuation</w:t>
      </w:r>
    </w:p>
    <w:p w14:paraId="1EE01326" w14:textId="065B4232" w:rsidR="00DB3282" w:rsidRPr="00394C86" w:rsidRDefault="00DB3282" w:rsidP="00110706">
      <w:pPr>
        <w:rPr>
          <w:lang w:val="en-AU"/>
        </w:rPr>
      </w:pPr>
      <w:r w:rsidRPr="00394C86">
        <w:rPr>
          <w:lang w:val="en-AU"/>
        </w:rPr>
        <w:t>NDMO</w:t>
      </w:r>
      <w:r w:rsidRPr="00394C86">
        <w:rPr>
          <w:lang w:val="en-AU"/>
        </w:rPr>
        <w:tab/>
      </w:r>
      <w:r w:rsidRPr="00394C86">
        <w:rPr>
          <w:lang w:val="en-AU"/>
        </w:rPr>
        <w:tab/>
      </w:r>
      <w:r w:rsidR="00A03C77" w:rsidRPr="00394C86">
        <w:rPr>
          <w:lang w:val="en-AU"/>
        </w:rPr>
        <w:t>n</w:t>
      </w:r>
      <w:r w:rsidRPr="00394C86">
        <w:rPr>
          <w:lang w:val="en-AU"/>
        </w:rPr>
        <w:t xml:space="preserve">ational </w:t>
      </w:r>
      <w:r w:rsidR="00A03C77" w:rsidRPr="00394C86">
        <w:rPr>
          <w:lang w:val="en-AU"/>
        </w:rPr>
        <w:t>d</w:t>
      </w:r>
      <w:r w:rsidRPr="00394C86">
        <w:rPr>
          <w:lang w:val="en-AU"/>
        </w:rPr>
        <w:t xml:space="preserve">isaster </w:t>
      </w:r>
      <w:r w:rsidR="00A03C77" w:rsidRPr="00394C86">
        <w:rPr>
          <w:lang w:val="en-AU"/>
        </w:rPr>
        <w:t>m</w:t>
      </w:r>
      <w:r w:rsidRPr="00394C86">
        <w:rPr>
          <w:lang w:val="en-AU"/>
        </w:rPr>
        <w:t xml:space="preserve">anagement </w:t>
      </w:r>
      <w:r w:rsidR="00A03C77" w:rsidRPr="00394C86">
        <w:rPr>
          <w:lang w:val="en-AU"/>
        </w:rPr>
        <w:t>o</w:t>
      </w:r>
      <w:r w:rsidRPr="00394C86">
        <w:rPr>
          <w:lang w:val="en-AU"/>
        </w:rPr>
        <w:t>ffice</w:t>
      </w:r>
    </w:p>
    <w:p w14:paraId="129E0EFB" w14:textId="357FE8F0" w:rsidR="00F0476E" w:rsidRPr="00394C86" w:rsidRDefault="00F0476E" w:rsidP="00110706">
      <w:pPr>
        <w:rPr>
          <w:lang w:val="en-AU"/>
        </w:rPr>
      </w:pPr>
      <w:r w:rsidRPr="00394C86">
        <w:rPr>
          <w:lang w:val="en-AU"/>
        </w:rPr>
        <w:t>NGO</w:t>
      </w:r>
      <w:r w:rsidRPr="00394C86">
        <w:rPr>
          <w:lang w:val="en-AU"/>
        </w:rPr>
        <w:tab/>
      </w:r>
      <w:r w:rsidRPr="00394C86">
        <w:rPr>
          <w:lang w:val="en-AU"/>
        </w:rPr>
        <w:tab/>
      </w:r>
      <w:r w:rsidR="00413EA6" w:rsidRPr="00394C86">
        <w:rPr>
          <w:lang w:val="en-AU"/>
        </w:rPr>
        <w:t>n</w:t>
      </w:r>
      <w:r w:rsidRPr="00394C86">
        <w:rPr>
          <w:lang w:val="en-AU"/>
        </w:rPr>
        <w:t>on-</w:t>
      </w:r>
      <w:r w:rsidR="00413EA6" w:rsidRPr="00394C86">
        <w:rPr>
          <w:lang w:val="en-AU"/>
        </w:rPr>
        <w:t>g</w:t>
      </w:r>
      <w:r w:rsidRPr="00394C86">
        <w:rPr>
          <w:lang w:val="en-AU"/>
        </w:rPr>
        <w:t xml:space="preserve">overnment </w:t>
      </w:r>
      <w:r w:rsidR="00413EA6" w:rsidRPr="00394C86">
        <w:rPr>
          <w:lang w:val="en-AU"/>
        </w:rPr>
        <w:t>o</w:t>
      </w:r>
      <w:r w:rsidRPr="00394C86">
        <w:rPr>
          <w:lang w:val="en-AU"/>
        </w:rPr>
        <w:t>rganisation</w:t>
      </w:r>
    </w:p>
    <w:p w14:paraId="749608A4" w14:textId="54B18095" w:rsidR="00547014" w:rsidRPr="00394C86" w:rsidRDefault="00547014" w:rsidP="00110706">
      <w:pPr>
        <w:rPr>
          <w:lang w:val="en-AU"/>
        </w:rPr>
      </w:pPr>
      <w:r w:rsidRPr="00394C86">
        <w:rPr>
          <w:lang w:val="en-AU"/>
        </w:rPr>
        <w:t xml:space="preserve">PDF </w:t>
      </w:r>
      <w:r w:rsidRPr="00394C86">
        <w:rPr>
          <w:lang w:val="en-AU"/>
        </w:rPr>
        <w:tab/>
      </w:r>
      <w:r w:rsidRPr="00394C86">
        <w:rPr>
          <w:lang w:val="en-AU"/>
        </w:rPr>
        <w:tab/>
        <w:t xml:space="preserve">Pacific Disability Forum </w:t>
      </w:r>
    </w:p>
    <w:p w14:paraId="2BB7FFC9" w14:textId="45B044C7" w:rsidR="0056559A" w:rsidRPr="00394C86" w:rsidRDefault="0056559A" w:rsidP="00110706">
      <w:pPr>
        <w:rPr>
          <w:lang w:val="en-AU"/>
        </w:rPr>
      </w:pPr>
      <w:r w:rsidRPr="00394C86">
        <w:rPr>
          <w:lang w:val="en-AU"/>
        </w:rPr>
        <w:t>PPF</w:t>
      </w:r>
      <w:r w:rsidR="00F62884" w:rsidRPr="00394C86">
        <w:rPr>
          <w:lang w:val="en-AU"/>
        </w:rPr>
        <w:tab/>
      </w:r>
      <w:r w:rsidR="00AA7D81" w:rsidRPr="00394C86">
        <w:rPr>
          <w:lang w:val="en-AU"/>
        </w:rPr>
        <w:tab/>
      </w:r>
      <w:r w:rsidR="00F62884" w:rsidRPr="00394C86">
        <w:rPr>
          <w:lang w:val="en-AU"/>
        </w:rPr>
        <w:t>Partnership and Performance Fund</w:t>
      </w:r>
    </w:p>
    <w:p w14:paraId="164B5E7D" w14:textId="3D49020E" w:rsidR="00681387" w:rsidRPr="00394C86" w:rsidRDefault="00681387" w:rsidP="00110706">
      <w:pPr>
        <w:rPr>
          <w:lang w:val="en-AU"/>
        </w:rPr>
      </w:pPr>
      <w:r w:rsidRPr="00394C86">
        <w:rPr>
          <w:lang w:val="en-AU"/>
        </w:rPr>
        <w:t>UN</w:t>
      </w:r>
      <w:r w:rsidRPr="00394C86">
        <w:rPr>
          <w:lang w:val="en-AU"/>
        </w:rPr>
        <w:tab/>
      </w:r>
      <w:r w:rsidRPr="00394C86">
        <w:rPr>
          <w:lang w:val="en-AU"/>
        </w:rPr>
        <w:tab/>
        <w:t xml:space="preserve">United Nations </w:t>
      </w:r>
    </w:p>
    <w:p w14:paraId="642EDCD7" w14:textId="1A94D54A" w:rsidR="00AA7D81" w:rsidRPr="00394C86" w:rsidRDefault="00AA7D81" w:rsidP="00110706">
      <w:pPr>
        <w:rPr>
          <w:lang w:val="en-AU"/>
        </w:rPr>
      </w:pPr>
      <w:r w:rsidRPr="00394C86">
        <w:rPr>
          <w:lang w:val="en-AU"/>
        </w:rPr>
        <w:t>UNESCAP</w:t>
      </w:r>
      <w:r w:rsidRPr="00394C86">
        <w:rPr>
          <w:lang w:val="en-AU"/>
        </w:rPr>
        <w:tab/>
        <w:t xml:space="preserve">United Nations Economic and Social Commission for Asia and the Pacific </w:t>
      </w:r>
    </w:p>
    <w:p w14:paraId="5AC72DC1" w14:textId="35190FB1" w:rsidR="00A62847" w:rsidRPr="00394C86" w:rsidRDefault="00A62847" w:rsidP="00110706">
      <w:pPr>
        <w:rPr>
          <w:lang w:val="en-AU"/>
        </w:rPr>
      </w:pPr>
      <w:r w:rsidRPr="00394C86">
        <w:rPr>
          <w:lang w:val="en-AU"/>
        </w:rPr>
        <w:t xml:space="preserve">WHS </w:t>
      </w:r>
      <w:r w:rsidRPr="00394C86">
        <w:rPr>
          <w:lang w:val="en-AU"/>
        </w:rPr>
        <w:tab/>
      </w:r>
      <w:r w:rsidRPr="00394C86">
        <w:rPr>
          <w:lang w:val="en-AU"/>
        </w:rPr>
        <w:tab/>
        <w:t xml:space="preserve">World Humanitarian Summit </w:t>
      </w:r>
    </w:p>
    <w:p w14:paraId="2F28055C" w14:textId="2AF88E1A" w:rsidR="003A579B" w:rsidRPr="00394C86" w:rsidRDefault="00235FBC" w:rsidP="00110706">
      <w:pPr>
        <w:rPr>
          <w:lang w:val="en-AU"/>
        </w:rPr>
      </w:pPr>
      <w:r w:rsidRPr="00394C86">
        <w:rPr>
          <w:lang w:val="en-AU"/>
        </w:rPr>
        <w:t>$</w:t>
      </w:r>
      <w:r w:rsidRPr="00394C86">
        <w:rPr>
          <w:lang w:val="en-AU"/>
        </w:rPr>
        <w:tab/>
      </w:r>
      <w:r w:rsidRPr="00394C86">
        <w:rPr>
          <w:lang w:val="en-AU"/>
        </w:rPr>
        <w:tab/>
      </w:r>
      <w:r w:rsidR="00413EA6" w:rsidRPr="00394C86">
        <w:rPr>
          <w:lang w:val="en-AU"/>
        </w:rPr>
        <w:t>denotes</w:t>
      </w:r>
      <w:r w:rsidRPr="00394C86">
        <w:rPr>
          <w:lang w:val="en-AU"/>
        </w:rPr>
        <w:t xml:space="preserve"> the Australian Dollar</w:t>
      </w:r>
    </w:p>
    <w:p w14:paraId="1E77E7BA" w14:textId="77777777" w:rsidR="00837E3F" w:rsidRDefault="00837E3F">
      <w:pPr>
        <w:rPr>
          <w:rFonts w:eastAsiaTheme="majorEastAsia"/>
          <w:caps/>
          <w:color w:val="FFFFFF" w:themeColor="background1"/>
          <w:spacing w:val="15"/>
          <w:lang w:val="en-AU"/>
        </w:rPr>
      </w:pPr>
      <w:r>
        <w:rPr>
          <w:lang w:val="en-AU"/>
        </w:rPr>
        <w:br w:type="page"/>
      </w:r>
    </w:p>
    <w:p w14:paraId="1BF9A497" w14:textId="79B48C51" w:rsidR="00DA750F" w:rsidRPr="00394C86" w:rsidRDefault="00DA750F" w:rsidP="00DA750F">
      <w:pPr>
        <w:pStyle w:val="Heading1"/>
        <w:rPr>
          <w:rFonts w:ascii="Calibri" w:hAnsi="Calibri" w:cs="Calibri"/>
          <w:lang w:val="en-AU"/>
        </w:rPr>
      </w:pPr>
      <w:bookmarkStart w:id="1" w:name="_Toc501451654"/>
      <w:r w:rsidRPr="00394C86">
        <w:rPr>
          <w:rFonts w:ascii="Calibri" w:hAnsi="Calibri" w:cs="Calibri"/>
          <w:lang w:val="en-AU"/>
        </w:rPr>
        <w:lastRenderedPageBreak/>
        <w:t>Glossary</w:t>
      </w:r>
      <w:bookmarkEnd w:id="1"/>
    </w:p>
    <w:p w14:paraId="6F96D37C" w14:textId="03410F5A" w:rsidR="000E682D" w:rsidRPr="00394C86" w:rsidRDefault="000E682D" w:rsidP="000E682D">
      <w:pPr>
        <w:rPr>
          <w:color w:val="3C3C3C" w:themeColor="background2" w:themeShade="40"/>
          <w:lang w:val="en-AU"/>
        </w:rPr>
      </w:pPr>
      <w:r w:rsidRPr="00394C86">
        <w:rPr>
          <w:b/>
          <w:color w:val="3C3C3C" w:themeColor="background2" w:themeShade="40"/>
          <w:lang w:val="en-AU"/>
        </w:rPr>
        <w:t>Activity plan</w:t>
      </w:r>
      <w:r w:rsidR="00F52085" w:rsidRPr="00394C86">
        <w:rPr>
          <w:b/>
          <w:color w:val="3C3C3C" w:themeColor="background2" w:themeShade="40"/>
          <w:lang w:val="en-AU"/>
        </w:rPr>
        <w:t>s</w:t>
      </w:r>
      <w:r w:rsidRPr="00394C86">
        <w:rPr>
          <w:b/>
          <w:color w:val="3C3C3C" w:themeColor="background2" w:themeShade="40"/>
          <w:lang w:val="en-AU"/>
        </w:rPr>
        <w:t xml:space="preserve"> (also known as sub design</w:t>
      </w:r>
      <w:r w:rsidR="007E271A" w:rsidRPr="00394C86">
        <w:rPr>
          <w:b/>
          <w:color w:val="3C3C3C" w:themeColor="background2" w:themeShade="40"/>
          <w:lang w:val="en-AU"/>
        </w:rPr>
        <w:t>s</w:t>
      </w:r>
      <w:r w:rsidRPr="00394C86">
        <w:rPr>
          <w:b/>
          <w:color w:val="3C3C3C" w:themeColor="background2" w:themeShade="40"/>
          <w:lang w:val="en-AU"/>
        </w:rPr>
        <w:t>)</w:t>
      </w:r>
      <w:r w:rsidRPr="00394C86">
        <w:rPr>
          <w:color w:val="3C3C3C" w:themeColor="background2" w:themeShade="40"/>
          <w:lang w:val="en-AU"/>
        </w:rPr>
        <w:t xml:space="preserve"> – outline the activities that AHP NGOs and their partners will deliver. </w:t>
      </w:r>
      <w:r w:rsidR="00F52085" w:rsidRPr="00394C86">
        <w:rPr>
          <w:color w:val="3C3C3C" w:themeColor="background2" w:themeShade="40"/>
          <w:lang w:val="en-AU"/>
        </w:rPr>
        <w:t>These</w:t>
      </w:r>
      <w:r w:rsidRPr="00394C86">
        <w:rPr>
          <w:color w:val="3C3C3C" w:themeColor="background2" w:themeShade="40"/>
          <w:lang w:val="en-AU"/>
        </w:rPr>
        <w:t xml:space="preserve"> describe NGO outcomes, program logic, gender and disability analysis, a detailed </w:t>
      </w:r>
      <w:r w:rsidR="00106244" w:rsidRPr="00394C86">
        <w:rPr>
          <w:color w:val="3C3C3C" w:themeColor="background2" w:themeShade="40"/>
          <w:lang w:val="en-AU"/>
        </w:rPr>
        <w:t>Year 1</w:t>
      </w:r>
      <w:r w:rsidRPr="00394C86">
        <w:rPr>
          <w:color w:val="3C3C3C" w:themeColor="background2" w:themeShade="40"/>
          <w:lang w:val="en-AU"/>
        </w:rPr>
        <w:t xml:space="preserve"> activity implementation plan, and budget and risk management </w:t>
      </w:r>
    </w:p>
    <w:p w14:paraId="31417733" w14:textId="0A4F5777" w:rsidR="000E682D" w:rsidRPr="00394C86" w:rsidRDefault="000E682D" w:rsidP="000E682D">
      <w:pPr>
        <w:rPr>
          <w:color w:val="3C3C3C" w:themeColor="background2" w:themeShade="40"/>
          <w:lang w:val="en-AU"/>
        </w:rPr>
      </w:pPr>
      <w:r w:rsidRPr="00394C86">
        <w:rPr>
          <w:b/>
          <w:color w:val="3C3C3C" w:themeColor="background2" w:themeShade="40"/>
          <w:lang w:val="en-AU"/>
        </w:rPr>
        <w:t xml:space="preserve">AHP NGOs </w:t>
      </w:r>
      <w:r w:rsidR="00BC5AC2" w:rsidRPr="00394C86">
        <w:rPr>
          <w:b/>
          <w:color w:val="3C3C3C" w:themeColor="background2" w:themeShade="40"/>
          <w:lang w:val="en-AU"/>
        </w:rPr>
        <w:t>–</w:t>
      </w:r>
      <w:r w:rsidRPr="00394C86">
        <w:rPr>
          <w:color w:val="3C3C3C" w:themeColor="background2" w:themeShade="40"/>
          <w:lang w:val="en-AU"/>
        </w:rPr>
        <w:t xml:space="preserve"> AHP lead NGOs and consortia members, based in Australia</w:t>
      </w:r>
    </w:p>
    <w:p w14:paraId="66E1E100" w14:textId="2D8D791E" w:rsidR="000E682D" w:rsidRPr="00394C86" w:rsidRDefault="000E682D" w:rsidP="000E682D">
      <w:pPr>
        <w:rPr>
          <w:rFonts w:eastAsia="SimSun"/>
          <w:color w:val="3C3C3C" w:themeColor="background2" w:themeShade="40"/>
          <w:lang w:val="en-AU"/>
        </w:rPr>
      </w:pPr>
      <w:r w:rsidRPr="00560CDB">
        <w:rPr>
          <w:rFonts w:eastAsia="SimSun"/>
          <w:b/>
          <w:color w:val="3C3C3C" w:themeColor="background2" w:themeShade="40"/>
          <w:lang w:val="en-AU"/>
        </w:rPr>
        <w:t>AHP lead NGOs</w:t>
      </w:r>
      <w:r w:rsidRPr="00394C86">
        <w:rPr>
          <w:rFonts w:eastAsia="SimSun"/>
          <w:color w:val="3C3C3C" w:themeColor="background2" w:themeShade="40"/>
          <w:lang w:val="en-AU"/>
        </w:rPr>
        <w:t xml:space="preserve"> – the six Australian NGOs contracted by DFAT to deliver the five</w:t>
      </w:r>
      <w:r w:rsidR="00BC5AC2" w:rsidRPr="00394C86">
        <w:rPr>
          <w:rFonts w:eastAsia="SimSun"/>
          <w:color w:val="3C3C3C" w:themeColor="background2" w:themeShade="40"/>
          <w:lang w:val="en-AU"/>
        </w:rPr>
        <w:t>-</w:t>
      </w:r>
      <w:r w:rsidRPr="00394C86">
        <w:rPr>
          <w:rFonts w:eastAsia="SimSun"/>
          <w:color w:val="3C3C3C" w:themeColor="background2" w:themeShade="40"/>
          <w:lang w:val="en-AU"/>
        </w:rPr>
        <w:t>year AHP. Some of these NGOs lead a consorti</w:t>
      </w:r>
      <w:r w:rsidR="00340A86" w:rsidRPr="00394C86">
        <w:rPr>
          <w:rFonts w:eastAsia="SimSun"/>
          <w:color w:val="3C3C3C" w:themeColor="background2" w:themeShade="40"/>
          <w:lang w:val="en-AU"/>
        </w:rPr>
        <w:t>um</w:t>
      </w:r>
      <w:r w:rsidRPr="00394C86">
        <w:rPr>
          <w:rFonts w:eastAsia="SimSun"/>
          <w:color w:val="3C3C3C" w:themeColor="background2" w:themeShade="40"/>
          <w:lang w:val="en-AU"/>
        </w:rPr>
        <w:t xml:space="preserve"> of organisations</w:t>
      </w:r>
    </w:p>
    <w:p w14:paraId="4F632D62" w14:textId="2E8329FE" w:rsidR="000E682D" w:rsidRPr="00394C86" w:rsidRDefault="000E682D" w:rsidP="000E682D">
      <w:pPr>
        <w:rPr>
          <w:color w:val="3C3C3C" w:themeColor="background2" w:themeShade="40"/>
          <w:lang w:val="en-AU"/>
        </w:rPr>
      </w:pPr>
      <w:r w:rsidRPr="00394C86">
        <w:rPr>
          <w:b/>
          <w:color w:val="3C3C3C" w:themeColor="background2" w:themeShade="40"/>
          <w:lang w:val="en-AU"/>
        </w:rPr>
        <w:t xml:space="preserve">Country </w:t>
      </w:r>
      <w:r w:rsidR="00BC5AC2" w:rsidRPr="00394C86">
        <w:rPr>
          <w:b/>
          <w:color w:val="3C3C3C" w:themeColor="background2" w:themeShade="40"/>
          <w:lang w:val="en-AU"/>
        </w:rPr>
        <w:t>C</w:t>
      </w:r>
      <w:r w:rsidRPr="00394C86">
        <w:rPr>
          <w:b/>
          <w:color w:val="3C3C3C" w:themeColor="background2" w:themeShade="40"/>
          <w:lang w:val="en-AU"/>
        </w:rPr>
        <w:t>ommittee</w:t>
      </w:r>
      <w:r w:rsidRPr="00394C86">
        <w:rPr>
          <w:color w:val="3C3C3C" w:themeColor="background2" w:themeShade="40"/>
          <w:lang w:val="en-AU"/>
        </w:rPr>
        <w:t xml:space="preserve"> – Disaster READY governance mechanism at the country level </w:t>
      </w:r>
    </w:p>
    <w:p w14:paraId="56C68EB7" w14:textId="3519A83A" w:rsidR="000E682D" w:rsidRPr="00394C86" w:rsidRDefault="000E682D" w:rsidP="00DA750F">
      <w:pPr>
        <w:rPr>
          <w:color w:val="3C3C3C" w:themeColor="background2" w:themeShade="40"/>
          <w:lang w:val="en-AU"/>
        </w:rPr>
      </w:pPr>
      <w:r w:rsidRPr="00394C86">
        <w:rPr>
          <w:b/>
          <w:color w:val="3C3C3C" w:themeColor="background2" w:themeShade="40"/>
          <w:lang w:val="en-AU"/>
        </w:rPr>
        <w:t xml:space="preserve">Country </w:t>
      </w:r>
      <w:r w:rsidR="005C2A34" w:rsidRPr="00394C86">
        <w:rPr>
          <w:b/>
          <w:color w:val="3C3C3C" w:themeColor="background2" w:themeShade="40"/>
          <w:lang w:val="en-AU"/>
        </w:rPr>
        <w:t>p</w:t>
      </w:r>
      <w:r w:rsidRPr="00394C86">
        <w:rPr>
          <w:b/>
          <w:color w:val="3C3C3C" w:themeColor="background2" w:themeShade="40"/>
          <w:lang w:val="en-AU"/>
        </w:rPr>
        <w:t>lan</w:t>
      </w:r>
      <w:r w:rsidR="007E271A" w:rsidRPr="00394C86">
        <w:rPr>
          <w:b/>
          <w:color w:val="3C3C3C" w:themeColor="background2" w:themeShade="40"/>
          <w:lang w:val="en-AU"/>
        </w:rPr>
        <w:t>s</w:t>
      </w:r>
      <w:r w:rsidRPr="00394C86">
        <w:rPr>
          <w:color w:val="3C3C3C" w:themeColor="background2" w:themeShade="40"/>
          <w:lang w:val="en-AU"/>
        </w:rPr>
        <w:t xml:space="preserve"> – set out the country context, the </w:t>
      </w:r>
      <w:proofErr w:type="gramStart"/>
      <w:r w:rsidRPr="00394C86">
        <w:rPr>
          <w:color w:val="3C3C3C" w:themeColor="background2" w:themeShade="40"/>
          <w:lang w:val="en-AU"/>
        </w:rPr>
        <w:t>particular program</w:t>
      </w:r>
      <w:proofErr w:type="gramEnd"/>
      <w:r w:rsidRPr="00394C86">
        <w:rPr>
          <w:color w:val="3C3C3C" w:themeColor="background2" w:themeShade="40"/>
          <w:lang w:val="en-AU"/>
        </w:rPr>
        <w:t xml:space="preserve"> outcomes that AHP NGOs are working towards in that country, how they will work together and manage risks</w:t>
      </w:r>
    </w:p>
    <w:p w14:paraId="4445FF00" w14:textId="77777777" w:rsidR="000E682D" w:rsidRPr="00560CDB" w:rsidRDefault="000E682D" w:rsidP="000E682D">
      <w:pPr>
        <w:rPr>
          <w:color w:val="3C3C3C" w:themeColor="background2" w:themeShade="40"/>
          <w:lang w:val="en-AU"/>
        </w:rPr>
      </w:pPr>
      <w:r w:rsidRPr="00394C86">
        <w:rPr>
          <w:b/>
          <w:color w:val="3C3C3C" w:themeColor="background2" w:themeShade="40"/>
          <w:lang w:val="en-AU"/>
        </w:rPr>
        <w:t xml:space="preserve">Disaster READY design – </w:t>
      </w:r>
      <w:r w:rsidRPr="00560CDB">
        <w:rPr>
          <w:color w:val="3C3C3C" w:themeColor="background2" w:themeShade="40"/>
          <w:lang w:val="en-AU"/>
        </w:rPr>
        <w:t>describes the package of the overarching framework, country plans and activity plans</w:t>
      </w:r>
    </w:p>
    <w:p w14:paraId="64693BD0" w14:textId="773B7CA2" w:rsidR="00DA750F" w:rsidRPr="00394C86" w:rsidRDefault="00DA750F" w:rsidP="00DA750F">
      <w:pPr>
        <w:rPr>
          <w:color w:val="3C3C3C" w:themeColor="background2" w:themeShade="40"/>
          <w:lang w:val="en-AU"/>
        </w:rPr>
      </w:pPr>
      <w:r w:rsidRPr="00394C86">
        <w:rPr>
          <w:b/>
          <w:color w:val="3C3C3C" w:themeColor="background2" w:themeShade="40"/>
          <w:lang w:val="en-AU"/>
        </w:rPr>
        <w:t>Disaster R</w:t>
      </w:r>
      <w:r w:rsidR="007C6B5A" w:rsidRPr="00394C86">
        <w:rPr>
          <w:b/>
          <w:color w:val="3C3C3C" w:themeColor="background2" w:themeShade="40"/>
          <w:lang w:val="en-AU"/>
        </w:rPr>
        <w:t>EADY</w:t>
      </w:r>
      <w:r w:rsidRPr="00394C86">
        <w:rPr>
          <w:b/>
          <w:color w:val="3C3C3C" w:themeColor="background2" w:themeShade="40"/>
          <w:lang w:val="en-AU"/>
        </w:rPr>
        <w:t xml:space="preserve"> </w:t>
      </w:r>
      <w:r w:rsidR="007E0713" w:rsidRPr="00394C86">
        <w:rPr>
          <w:b/>
          <w:color w:val="3C3C3C" w:themeColor="background2" w:themeShade="40"/>
          <w:lang w:val="en-AU"/>
        </w:rPr>
        <w:t>o</w:t>
      </w:r>
      <w:r w:rsidRPr="00394C86">
        <w:rPr>
          <w:b/>
          <w:color w:val="3C3C3C" w:themeColor="background2" w:themeShade="40"/>
          <w:lang w:val="en-AU"/>
        </w:rPr>
        <w:t>verarching framework</w:t>
      </w:r>
      <w:r w:rsidRPr="00394C86">
        <w:rPr>
          <w:color w:val="3C3C3C" w:themeColor="background2" w:themeShade="40"/>
          <w:lang w:val="en-AU"/>
        </w:rPr>
        <w:t xml:space="preserve"> – provides the strategic context, rationale, program logic and outcomes, delivery mechanisms, budget, governance, management, monitoring and evaluation arrangements, gender and disability analysis</w:t>
      </w:r>
      <w:r w:rsidR="00BC5AC2" w:rsidRPr="00394C86">
        <w:rPr>
          <w:color w:val="3C3C3C" w:themeColor="background2" w:themeShade="40"/>
          <w:lang w:val="en-AU"/>
        </w:rPr>
        <w:t>,</w:t>
      </w:r>
      <w:r w:rsidRPr="00394C86">
        <w:rPr>
          <w:color w:val="3C3C3C" w:themeColor="background2" w:themeShade="40"/>
          <w:lang w:val="en-AU"/>
        </w:rPr>
        <w:t xml:space="preserve"> and risk management (this document)</w:t>
      </w:r>
    </w:p>
    <w:p w14:paraId="27C72199" w14:textId="041FFEED" w:rsidR="000E682D" w:rsidRPr="00394C86" w:rsidRDefault="000E682D" w:rsidP="000E682D">
      <w:pPr>
        <w:rPr>
          <w:rFonts w:eastAsia="SimSun"/>
          <w:color w:val="3C3C3C" w:themeColor="background2" w:themeShade="40"/>
          <w:lang w:val="en-AU"/>
        </w:rPr>
      </w:pPr>
      <w:r w:rsidRPr="00560CDB">
        <w:rPr>
          <w:rFonts w:eastAsia="SimSun"/>
          <w:b/>
          <w:color w:val="3C3C3C" w:themeColor="background2" w:themeShade="40"/>
          <w:lang w:val="en-AU"/>
        </w:rPr>
        <w:t>Humanitarian capability</w:t>
      </w:r>
      <w:r w:rsidRPr="00394C86">
        <w:rPr>
          <w:rFonts w:eastAsia="SimSun"/>
          <w:color w:val="3C3C3C" w:themeColor="background2" w:themeShade="40"/>
          <w:lang w:val="en-AU"/>
        </w:rPr>
        <w:t xml:space="preserve"> – the systems, knowledge, skills and practices that enable effective action to reduce disaster risks, prepare for, respond to</w:t>
      </w:r>
      <w:r w:rsidR="00BC5AC2" w:rsidRPr="00394C86">
        <w:rPr>
          <w:rFonts w:eastAsia="SimSun"/>
          <w:color w:val="3C3C3C" w:themeColor="background2" w:themeShade="40"/>
          <w:lang w:val="en-AU"/>
        </w:rPr>
        <w:t>,</w:t>
      </w:r>
      <w:r w:rsidRPr="00394C86">
        <w:rPr>
          <w:rFonts w:eastAsia="SimSun"/>
          <w:color w:val="3C3C3C" w:themeColor="background2" w:themeShade="40"/>
          <w:lang w:val="en-AU"/>
        </w:rPr>
        <w:t xml:space="preserve"> and </w:t>
      </w:r>
      <w:r w:rsidR="00BC5AC2" w:rsidRPr="00394C86">
        <w:rPr>
          <w:rFonts w:eastAsia="SimSun"/>
          <w:color w:val="3C3C3C" w:themeColor="background2" w:themeShade="40"/>
          <w:lang w:val="en-AU"/>
        </w:rPr>
        <w:t xml:space="preserve">to </w:t>
      </w:r>
      <w:r w:rsidRPr="00394C86">
        <w:rPr>
          <w:rFonts w:eastAsia="SimSun"/>
          <w:color w:val="3C3C3C" w:themeColor="background2" w:themeShade="40"/>
          <w:lang w:val="en-AU"/>
        </w:rPr>
        <w:t>recover from disasters</w:t>
      </w:r>
    </w:p>
    <w:p w14:paraId="528B4B89" w14:textId="01167CF8" w:rsidR="000E682D" w:rsidRPr="00394C86" w:rsidRDefault="000E682D" w:rsidP="000E682D">
      <w:pPr>
        <w:rPr>
          <w:color w:val="3C3C3C" w:themeColor="background2" w:themeShade="40"/>
          <w:lang w:val="en-AU"/>
        </w:rPr>
      </w:pPr>
      <w:r w:rsidRPr="00560CDB">
        <w:rPr>
          <w:rFonts w:eastAsia="SimSun"/>
          <w:b/>
          <w:color w:val="3C3C3C" w:themeColor="background2" w:themeShade="40"/>
          <w:lang w:val="en-AU"/>
        </w:rPr>
        <w:t>Localisation</w:t>
      </w:r>
      <w:r w:rsidRPr="00394C86">
        <w:rPr>
          <w:rFonts w:eastAsia="SimSun"/>
          <w:color w:val="3C3C3C" w:themeColor="background2" w:themeShade="40"/>
          <w:lang w:val="en-AU"/>
        </w:rPr>
        <w:t xml:space="preserve"> – defined through Australian Red Cross-DFAT Pacific research as </w:t>
      </w:r>
      <w:r w:rsidR="008872C4" w:rsidRPr="00394C86">
        <w:rPr>
          <w:color w:val="3C3C3C" w:themeColor="background2" w:themeShade="40"/>
          <w:lang w:val="en-AU"/>
        </w:rPr>
        <w:t>“</w:t>
      </w:r>
      <w:r w:rsidRPr="00394C86">
        <w:rPr>
          <w:color w:val="3C3C3C" w:themeColor="background2" w:themeShade="40"/>
          <w:lang w:val="en-AU"/>
        </w:rPr>
        <w:t>the process of recognising, respecting and strengthening the independence of leadership and decision-making by national actors in humanitarian action</w:t>
      </w:r>
      <w:r w:rsidR="00467A61" w:rsidRPr="00394C86">
        <w:rPr>
          <w:color w:val="3C3C3C" w:themeColor="background2" w:themeShade="40"/>
          <w:lang w:val="en-AU"/>
        </w:rPr>
        <w:t>,</w:t>
      </w:r>
      <w:r w:rsidRPr="00394C86">
        <w:rPr>
          <w:color w:val="3C3C3C" w:themeColor="background2" w:themeShade="40"/>
          <w:lang w:val="en-AU"/>
        </w:rPr>
        <w:t xml:space="preserve"> </w:t>
      </w:r>
      <w:proofErr w:type="gramStart"/>
      <w:r w:rsidRPr="00394C86">
        <w:rPr>
          <w:color w:val="3C3C3C" w:themeColor="background2" w:themeShade="40"/>
          <w:lang w:val="en-AU"/>
        </w:rPr>
        <w:t>in order to</w:t>
      </w:r>
      <w:proofErr w:type="gramEnd"/>
      <w:r w:rsidRPr="00394C86">
        <w:rPr>
          <w:color w:val="3C3C3C" w:themeColor="background2" w:themeShade="40"/>
          <w:lang w:val="en-AU"/>
        </w:rPr>
        <w:t xml:space="preserve"> better address the needs of the affected populations</w:t>
      </w:r>
      <w:r w:rsidR="008872C4" w:rsidRPr="00394C86">
        <w:rPr>
          <w:color w:val="3C3C3C" w:themeColor="background2" w:themeShade="40"/>
          <w:lang w:val="en-AU"/>
        </w:rPr>
        <w:t>”</w:t>
      </w:r>
    </w:p>
    <w:p w14:paraId="6892A858" w14:textId="77777777" w:rsidR="00560CDB" w:rsidRDefault="00D25377" w:rsidP="00D25377">
      <w:pPr>
        <w:rPr>
          <w:rFonts w:eastAsia="SimSun"/>
          <w:color w:val="3C3C3C" w:themeColor="background2" w:themeShade="40"/>
          <w:lang w:val="en-AU"/>
        </w:rPr>
      </w:pPr>
      <w:r w:rsidRPr="00394C86">
        <w:rPr>
          <w:rFonts w:eastAsia="SimSun"/>
          <w:b/>
          <w:color w:val="3C3C3C" w:themeColor="background2" w:themeShade="40"/>
          <w:lang w:val="en-AU"/>
        </w:rPr>
        <w:t>National NGOs -</w:t>
      </w:r>
      <w:r w:rsidRPr="00394C86">
        <w:rPr>
          <w:rFonts w:eastAsia="SimSun"/>
          <w:color w:val="3C3C3C" w:themeColor="background2" w:themeShade="40"/>
          <w:lang w:val="en-AU"/>
        </w:rPr>
        <w:t xml:space="preserve"> includes local NGOs</w:t>
      </w:r>
      <w:r w:rsidR="00F0476E" w:rsidRPr="00394C86">
        <w:rPr>
          <w:rFonts w:eastAsia="SimSun"/>
          <w:color w:val="3C3C3C" w:themeColor="background2" w:themeShade="40"/>
          <w:lang w:val="en-AU"/>
        </w:rPr>
        <w:t xml:space="preserve"> (national, regional and community</w:t>
      </w:r>
      <w:r w:rsidR="00BC426C" w:rsidRPr="00394C86">
        <w:rPr>
          <w:rFonts w:eastAsia="SimSun"/>
          <w:color w:val="3C3C3C" w:themeColor="background2" w:themeShade="40"/>
          <w:lang w:val="en-AU"/>
        </w:rPr>
        <w:t>-</w:t>
      </w:r>
      <w:r w:rsidR="00F0476E" w:rsidRPr="00394C86">
        <w:rPr>
          <w:rFonts w:eastAsia="SimSun"/>
          <w:color w:val="3C3C3C" w:themeColor="background2" w:themeShade="40"/>
          <w:lang w:val="en-AU"/>
        </w:rPr>
        <w:t>based)</w:t>
      </w:r>
      <w:r w:rsidRPr="00394C86">
        <w:rPr>
          <w:rFonts w:eastAsia="SimSun"/>
          <w:color w:val="3C3C3C" w:themeColor="background2" w:themeShade="40"/>
          <w:lang w:val="en-AU"/>
        </w:rPr>
        <w:t xml:space="preserve"> and national offices of international NGOs</w:t>
      </w:r>
      <w:r w:rsidR="00C74465" w:rsidRPr="00394C86">
        <w:rPr>
          <w:rFonts w:eastAsia="SimSun"/>
          <w:color w:val="3C3C3C" w:themeColor="background2" w:themeShade="40"/>
          <w:lang w:val="en-AU"/>
        </w:rPr>
        <w:t xml:space="preserve"> </w:t>
      </w:r>
      <w:r w:rsidR="00F0476E" w:rsidRPr="00394C86">
        <w:rPr>
          <w:rFonts w:eastAsia="SimSun"/>
          <w:color w:val="3C3C3C" w:themeColor="background2" w:themeShade="40"/>
          <w:lang w:val="en-AU"/>
        </w:rPr>
        <w:t>(</w:t>
      </w:r>
      <w:r w:rsidR="00C74465" w:rsidRPr="00394C86">
        <w:rPr>
          <w:rFonts w:eastAsia="SimSun"/>
          <w:color w:val="3C3C3C" w:themeColor="background2" w:themeShade="40"/>
          <w:lang w:val="en-AU"/>
        </w:rPr>
        <w:t xml:space="preserve">including </w:t>
      </w:r>
      <w:r w:rsidR="00DC1E54" w:rsidRPr="00394C86">
        <w:rPr>
          <w:rFonts w:eastAsia="SimSun"/>
          <w:color w:val="3C3C3C" w:themeColor="background2" w:themeShade="40"/>
          <w:lang w:val="en-AU"/>
        </w:rPr>
        <w:t xml:space="preserve">national offices of </w:t>
      </w:r>
      <w:r w:rsidR="00C74465" w:rsidRPr="00394C86">
        <w:rPr>
          <w:rFonts w:eastAsia="SimSun"/>
          <w:color w:val="3C3C3C" w:themeColor="background2" w:themeShade="40"/>
          <w:lang w:val="en-AU"/>
        </w:rPr>
        <w:t>AHP NGOs</w:t>
      </w:r>
      <w:r w:rsidR="00F0476E" w:rsidRPr="00394C86">
        <w:rPr>
          <w:rFonts w:eastAsia="SimSun"/>
          <w:color w:val="3C3C3C" w:themeColor="background2" w:themeShade="40"/>
          <w:lang w:val="en-AU"/>
        </w:rPr>
        <w:t>)</w:t>
      </w:r>
    </w:p>
    <w:p w14:paraId="2BE74C4D" w14:textId="29C522B3" w:rsidR="00815655" w:rsidRPr="00394C86" w:rsidRDefault="005B4B98" w:rsidP="00D25377">
      <w:pPr>
        <w:rPr>
          <w:rFonts w:eastAsia="SimSun"/>
          <w:color w:val="3C3C3C" w:themeColor="background2" w:themeShade="40"/>
          <w:lang w:val="en-AU"/>
        </w:rPr>
      </w:pPr>
      <w:r w:rsidRPr="00560CDB">
        <w:rPr>
          <w:rFonts w:eastAsia="SimSun"/>
          <w:b/>
          <w:color w:val="3C3C3C" w:themeColor="background2" w:themeShade="40"/>
          <w:lang w:val="en-AU"/>
        </w:rPr>
        <w:t xml:space="preserve">Pacific </w:t>
      </w:r>
      <w:r w:rsidR="00F663E7" w:rsidRPr="00394C86">
        <w:rPr>
          <w:rFonts w:eastAsia="SimSun"/>
          <w:b/>
          <w:color w:val="3C3C3C" w:themeColor="background2" w:themeShade="40"/>
          <w:lang w:val="en-AU"/>
        </w:rPr>
        <w:t>I</w:t>
      </w:r>
      <w:r w:rsidRPr="00560CDB">
        <w:rPr>
          <w:rFonts w:eastAsia="SimSun"/>
          <w:b/>
          <w:color w:val="3C3C3C" w:themeColor="background2" w:themeShade="40"/>
          <w:lang w:val="en-AU"/>
        </w:rPr>
        <w:t xml:space="preserve">slands </w:t>
      </w:r>
      <w:r w:rsidRPr="00394C86">
        <w:rPr>
          <w:rFonts w:eastAsia="SimSun"/>
          <w:color w:val="3C3C3C" w:themeColor="background2" w:themeShade="40"/>
          <w:lang w:val="en-AU"/>
        </w:rPr>
        <w:t>– Pacific states and Timor</w:t>
      </w:r>
      <w:r w:rsidR="007178F0" w:rsidRPr="00394C86">
        <w:rPr>
          <w:rFonts w:eastAsia="SimSun"/>
          <w:color w:val="3C3C3C" w:themeColor="background2" w:themeShade="40"/>
          <w:lang w:val="en-AU"/>
        </w:rPr>
        <w:t>-</w:t>
      </w:r>
      <w:r w:rsidRPr="00394C86">
        <w:rPr>
          <w:rFonts w:eastAsia="SimSun"/>
          <w:color w:val="3C3C3C" w:themeColor="background2" w:themeShade="40"/>
          <w:lang w:val="en-AU"/>
        </w:rPr>
        <w:t>Leste</w:t>
      </w:r>
      <w:r w:rsidR="000E682D" w:rsidRPr="00394C86">
        <w:rPr>
          <w:b/>
          <w:color w:val="3C3C3C" w:themeColor="background2" w:themeShade="40"/>
          <w:lang w:val="en-AU"/>
        </w:rPr>
        <w:t xml:space="preserve"> </w:t>
      </w:r>
    </w:p>
    <w:p w14:paraId="393DCEE1" w14:textId="0AD0F94F" w:rsidR="000E682D" w:rsidRPr="00394C86" w:rsidRDefault="000E682D" w:rsidP="00D25377">
      <w:pPr>
        <w:rPr>
          <w:rFonts w:eastAsia="SimSun"/>
          <w:color w:val="3C3C3C" w:themeColor="background2" w:themeShade="40"/>
          <w:lang w:val="en-AU"/>
        </w:rPr>
      </w:pPr>
      <w:r w:rsidRPr="00394C86">
        <w:rPr>
          <w:b/>
          <w:color w:val="3C3C3C" w:themeColor="background2" w:themeShade="40"/>
          <w:lang w:val="en-AU"/>
        </w:rPr>
        <w:t>Steering Committee</w:t>
      </w:r>
      <w:r w:rsidRPr="00394C86">
        <w:rPr>
          <w:color w:val="3C3C3C" w:themeColor="background2" w:themeShade="40"/>
          <w:lang w:val="en-AU"/>
        </w:rPr>
        <w:t xml:space="preserve"> – Program governance mechanism</w:t>
      </w:r>
      <w:r w:rsidRPr="00394C86">
        <w:rPr>
          <w:rFonts w:eastAsia="SimSun"/>
          <w:color w:val="3C3C3C" w:themeColor="background2" w:themeShade="40"/>
          <w:lang w:val="en-AU"/>
        </w:rPr>
        <w:t xml:space="preserve"> </w:t>
      </w:r>
    </w:p>
    <w:p w14:paraId="28227C9E" w14:textId="0DF8FBBB" w:rsidR="00B9309E" w:rsidRPr="00394C86" w:rsidRDefault="00BF1A40" w:rsidP="00D25377">
      <w:pPr>
        <w:rPr>
          <w:rFonts w:eastAsia="SimSun"/>
          <w:color w:val="3C3C3C" w:themeColor="background2" w:themeShade="40"/>
          <w:lang w:val="en-AU"/>
        </w:rPr>
      </w:pPr>
      <w:r w:rsidRPr="00394C86">
        <w:rPr>
          <w:rFonts w:eastAsia="SimSun"/>
          <w:b/>
          <w:color w:val="3C3C3C" w:themeColor="background2" w:themeShade="40"/>
          <w:lang w:val="en-AU"/>
        </w:rPr>
        <w:t>Shared Services</w:t>
      </w:r>
      <w:r w:rsidR="00892F99" w:rsidRPr="00394C86">
        <w:rPr>
          <w:rFonts w:eastAsia="SimSun"/>
          <w:color w:val="3C3C3C" w:themeColor="background2" w:themeShade="40"/>
          <w:lang w:val="en-AU"/>
        </w:rPr>
        <w:t xml:space="preserve"> – a funding mechanism within country plans that supports AHP NGO coordination and improved practice on gender, disability inclusion and child protection through sharing expertise and services</w:t>
      </w:r>
    </w:p>
    <w:p w14:paraId="479E931E" w14:textId="77777777" w:rsidR="00AC0568" w:rsidRPr="00394C86" w:rsidRDefault="00AC0568" w:rsidP="00D25377">
      <w:pPr>
        <w:rPr>
          <w:color w:val="3C3C3C" w:themeColor="background2" w:themeShade="40"/>
          <w:lang w:val="en-AU"/>
        </w:rPr>
      </w:pPr>
    </w:p>
    <w:p w14:paraId="4ACBD55F" w14:textId="77777777" w:rsidR="00AC0568" w:rsidRPr="00394C86" w:rsidRDefault="00AC0568" w:rsidP="00D25377">
      <w:pPr>
        <w:rPr>
          <w:color w:val="3C3C3C" w:themeColor="background2" w:themeShade="40"/>
          <w:lang w:val="en-AU"/>
        </w:rPr>
      </w:pPr>
    </w:p>
    <w:p w14:paraId="08C5794D" w14:textId="77777777" w:rsidR="00AC0568" w:rsidRPr="00394C86" w:rsidRDefault="00AC0568" w:rsidP="00D25377">
      <w:pPr>
        <w:rPr>
          <w:rFonts w:eastAsia="SimSun"/>
          <w:color w:val="3C3C3C" w:themeColor="background2" w:themeShade="40"/>
          <w:lang w:val="en-AU"/>
        </w:rPr>
      </w:pPr>
    </w:p>
    <w:p w14:paraId="4E272C29" w14:textId="77777777" w:rsidR="00837E3F" w:rsidRDefault="00837E3F">
      <w:pPr>
        <w:rPr>
          <w:rFonts w:eastAsiaTheme="majorEastAsia"/>
          <w:caps/>
          <w:color w:val="FFFFFF" w:themeColor="background1"/>
          <w:spacing w:val="15"/>
          <w:lang w:val="en-AU"/>
        </w:rPr>
      </w:pPr>
      <w:r>
        <w:rPr>
          <w:lang w:val="en-AU"/>
        </w:rPr>
        <w:br w:type="page"/>
      </w:r>
    </w:p>
    <w:p w14:paraId="0D2496D4" w14:textId="79019E69" w:rsidR="00194DF6" w:rsidRPr="00394C86" w:rsidRDefault="00BE46E6" w:rsidP="00110706">
      <w:pPr>
        <w:pStyle w:val="Heading1"/>
        <w:rPr>
          <w:rFonts w:ascii="Calibri" w:hAnsi="Calibri" w:cs="Calibri"/>
          <w:lang w:val="en-AU"/>
        </w:rPr>
      </w:pPr>
      <w:bookmarkStart w:id="2" w:name="_Toc501451655"/>
      <w:r w:rsidRPr="00394C86">
        <w:rPr>
          <w:rFonts w:ascii="Calibri" w:hAnsi="Calibri" w:cs="Calibri"/>
          <w:lang w:val="en-AU"/>
        </w:rPr>
        <w:lastRenderedPageBreak/>
        <w:t>AHP Disaster Ready Ove</w:t>
      </w:r>
      <w:r w:rsidR="00F663E7" w:rsidRPr="00394C86">
        <w:rPr>
          <w:rFonts w:ascii="Calibri" w:hAnsi="Calibri" w:cs="Calibri"/>
          <w:lang w:val="en-AU"/>
        </w:rPr>
        <w:t>R</w:t>
      </w:r>
      <w:r w:rsidRPr="00394C86">
        <w:rPr>
          <w:rFonts w:ascii="Calibri" w:hAnsi="Calibri" w:cs="Calibri"/>
          <w:lang w:val="en-AU"/>
        </w:rPr>
        <w:t>arching Framework</w:t>
      </w:r>
      <w:bookmarkEnd w:id="2"/>
      <w:r w:rsidR="00C64C47" w:rsidRPr="00394C86">
        <w:rPr>
          <w:rFonts w:ascii="Calibri" w:hAnsi="Calibri" w:cs="Calibri"/>
          <w:lang w:val="en-AU"/>
        </w:rPr>
        <w:t xml:space="preserve"> </w:t>
      </w:r>
    </w:p>
    <w:p w14:paraId="47C8CC2F" w14:textId="23DDF8F8" w:rsidR="00691E20" w:rsidRPr="00394C86" w:rsidRDefault="008B2140" w:rsidP="00110706">
      <w:pPr>
        <w:rPr>
          <w:lang w:val="en-AU"/>
        </w:rPr>
      </w:pPr>
      <w:r w:rsidRPr="00394C86">
        <w:rPr>
          <w:lang w:val="en-AU"/>
        </w:rPr>
        <w:t>Start Date: January 2018</w:t>
      </w:r>
      <w:r w:rsidRPr="00394C86">
        <w:rPr>
          <w:lang w:val="en-AU"/>
        </w:rPr>
        <w:tab/>
      </w:r>
      <w:r w:rsidR="000B51BB" w:rsidRPr="00394C86">
        <w:rPr>
          <w:lang w:val="en-AU"/>
        </w:rPr>
        <w:tab/>
      </w:r>
      <w:r w:rsidR="000B51BB" w:rsidRPr="00394C86">
        <w:rPr>
          <w:lang w:val="en-AU"/>
        </w:rPr>
        <w:tab/>
      </w:r>
      <w:r w:rsidR="000B51BB" w:rsidRPr="00394C86">
        <w:rPr>
          <w:lang w:val="en-AU"/>
        </w:rPr>
        <w:tab/>
      </w:r>
      <w:r w:rsidR="00B405DC">
        <w:rPr>
          <w:lang w:val="en-AU"/>
        </w:rPr>
        <w:tab/>
      </w:r>
      <w:r w:rsidRPr="00394C86">
        <w:rPr>
          <w:lang w:val="en-AU"/>
        </w:rPr>
        <w:t>End Date: June 2022</w:t>
      </w:r>
    </w:p>
    <w:p w14:paraId="51B6082F" w14:textId="481A9078" w:rsidR="008B2140" w:rsidRPr="00394C86" w:rsidRDefault="008B2140" w:rsidP="00110706">
      <w:pPr>
        <w:rPr>
          <w:lang w:val="en-AU"/>
        </w:rPr>
      </w:pPr>
      <w:r w:rsidRPr="00394C86">
        <w:rPr>
          <w:lang w:val="en-AU"/>
        </w:rPr>
        <w:t>Total proposed funding allocation: $</w:t>
      </w:r>
      <w:r w:rsidR="00B9309E" w:rsidRPr="00394C86">
        <w:rPr>
          <w:lang w:val="en-AU"/>
        </w:rPr>
        <w:t xml:space="preserve"> </w:t>
      </w:r>
      <w:r w:rsidRPr="00394C86">
        <w:rPr>
          <w:lang w:val="en-AU"/>
        </w:rPr>
        <w:t>42</w:t>
      </w:r>
      <w:r w:rsidR="003B39C9" w:rsidRPr="00394C86">
        <w:rPr>
          <w:lang w:val="en-AU"/>
        </w:rPr>
        <w:t>.5</w:t>
      </w:r>
      <w:r w:rsidRPr="00394C86">
        <w:rPr>
          <w:lang w:val="en-AU"/>
        </w:rPr>
        <w:t>m</w:t>
      </w:r>
      <w:r w:rsidR="00AC0568" w:rsidRPr="00394C86">
        <w:rPr>
          <w:rStyle w:val="FootnoteReference"/>
          <w:lang w:val="en-AU"/>
        </w:rPr>
        <w:footnoteReference w:id="1"/>
      </w:r>
    </w:p>
    <w:p w14:paraId="1DA05C8D" w14:textId="6951DB0E" w:rsidR="0040792E" w:rsidRDefault="004979D5" w:rsidP="00D25377">
      <w:pPr>
        <w:rPr>
          <w:lang w:val="en-AU"/>
        </w:rPr>
      </w:pPr>
      <w:r w:rsidRPr="00394C86">
        <w:rPr>
          <w:lang w:val="en-AU"/>
        </w:rPr>
        <w:t xml:space="preserve">AHP Disaster </w:t>
      </w:r>
      <w:r w:rsidR="002523DB" w:rsidRPr="00394C86">
        <w:rPr>
          <w:lang w:val="en-AU"/>
        </w:rPr>
        <w:t>REA</w:t>
      </w:r>
      <w:r w:rsidR="009B3FDE" w:rsidRPr="00394C86">
        <w:rPr>
          <w:lang w:val="en-AU"/>
        </w:rPr>
        <w:t>DY</w:t>
      </w:r>
      <w:r w:rsidRPr="00394C86">
        <w:rPr>
          <w:lang w:val="en-AU"/>
        </w:rPr>
        <w:t xml:space="preserve"> </w:t>
      </w:r>
      <w:r w:rsidR="008B2140" w:rsidRPr="00394C86">
        <w:rPr>
          <w:lang w:val="en-AU"/>
        </w:rPr>
        <w:t xml:space="preserve">Investment </w:t>
      </w:r>
      <w:r w:rsidRPr="00394C86">
        <w:rPr>
          <w:lang w:val="en-AU"/>
        </w:rPr>
        <w:t>approved by:</w:t>
      </w:r>
      <w:r w:rsidRPr="00394C86">
        <w:rPr>
          <w:lang w:val="en-AU"/>
        </w:rPr>
        <w:tab/>
      </w:r>
      <w:r w:rsidRPr="00394C86">
        <w:rPr>
          <w:lang w:val="en-AU"/>
        </w:rPr>
        <w:tab/>
      </w:r>
      <w:r w:rsidR="00B405DC" w:rsidRPr="00BF404D">
        <w:rPr>
          <w:rFonts w:eastAsia="SimSun"/>
          <w:b/>
          <w:lang w:val="en-AU" w:eastAsia="en-AU"/>
        </w:rPr>
        <w:t xml:space="preserve">      </w:t>
      </w:r>
      <w:r w:rsidR="00B405DC">
        <w:rPr>
          <w:rFonts w:eastAsia="SimSun"/>
          <w:b/>
          <w:lang w:val="en-AU" w:eastAsia="en-AU"/>
        </w:rPr>
        <w:t xml:space="preserve">   </w:t>
      </w:r>
      <w:r w:rsidR="00B405DC" w:rsidRPr="00BF404D">
        <w:rPr>
          <w:rFonts w:eastAsia="SimSun"/>
          <w:b/>
          <w:lang w:val="en-AU" w:eastAsia="en-AU"/>
        </w:rPr>
        <w:t xml:space="preserve"> </w:t>
      </w:r>
      <w:r w:rsidR="00B405DC" w:rsidRPr="009F49D3">
        <w:rPr>
          <w:rFonts w:eastAsia="SimSun"/>
          <w:lang w:val="en-AU" w:eastAsia="en-AU"/>
        </w:rPr>
        <w:tab/>
        <w:t>IC Endorsed by AIC:</w:t>
      </w:r>
      <w:r w:rsidR="00B405DC" w:rsidRPr="00BF404D">
        <w:rPr>
          <w:rFonts w:eastAsia="SimSun"/>
          <w:b/>
          <w:lang w:val="en-AU" w:eastAsia="en-AU"/>
        </w:rPr>
        <w:t xml:space="preserve"> </w:t>
      </w:r>
    </w:p>
    <w:p w14:paraId="3BABC28B" w14:textId="4A5C4F06" w:rsidR="00E95778" w:rsidRPr="00394C86" w:rsidRDefault="008B2140" w:rsidP="00D25377">
      <w:pPr>
        <w:rPr>
          <w:lang w:val="en-AU"/>
        </w:rPr>
      </w:pPr>
      <w:r w:rsidRPr="00394C86">
        <w:rPr>
          <w:lang w:val="en-AU"/>
        </w:rPr>
        <w:t>Quality assurance completed:</w:t>
      </w:r>
      <w:r w:rsidR="005021B7" w:rsidRPr="00394C86">
        <w:rPr>
          <w:lang w:val="en-AU"/>
        </w:rPr>
        <w:t xml:space="preserve"> Simon Ernst</w:t>
      </w:r>
      <w:r w:rsidR="00B405DC">
        <w:rPr>
          <w:lang w:val="en-AU"/>
        </w:rPr>
        <w:t xml:space="preserve"> (independent reviewer) and peer review</w:t>
      </w:r>
    </w:p>
    <w:p w14:paraId="2768E599" w14:textId="77777777" w:rsidR="00D25377" w:rsidRPr="00394C86" w:rsidRDefault="00D25377" w:rsidP="00D25377">
      <w:pPr>
        <w:rPr>
          <w:rFonts w:eastAsiaTheme="majorEastAsia"/>
          <w:caps/>
          <w:color w:val="FFFFFF" w:themeColor="background1"/>
          <w:spacing w:val="15"/>
          <w:lang w:val="en-AU"/>
        </w:rPr>
      </w:pPr>
    </w:p>
    <w:p w14:paraId="5D3B1D37" w14:textId="284FC5DB" w:rsidR="003B76F8" w:rsidRPr="00394C86" w:rsidRDefault="003B76F8">
      <w:pPr>
        <w:rPr>
          <w:lang w:val="en-AU"/>
        </w:rPr>
      </w:pPr>
      <w:r w:rsidRPr="00394C86">
        <w:rPr>
          <w:lang w:val="en-AU"/>
        </w:rPr>
        <w:br w:type="page"/>
      </w:r>
    </w:p>
    <w:p w14:paraId="35EB8B45" w14:textId="17BADEA2" w:rsidR="008B2140" w:rsidRPr="00394C86" w:rsidRDefault="008B2140" w:rsidP="00110706">
      <w:pPr>
        <w:pStyle w:val="Heading1"/>
        <w:rPr>
          <w:rFonts w:ascii="Calibri" w:hAnsi="Calibri" w:cs="Calibri"/>
          <w:lang w:val="en-AU"/>
        </w:rPr>
      </w:pPr>
      <w:bookmarkStart w:id="3" w:name="_Toc501451656"/>
      <w:r w:rsidRPr="00394C86">
        <w:rPr>
          <w:rFonts w:ascii="Calibri" w:hAnsi="Calibri" w:cs="Calibri"/>
          <w:lang w:val="en-AU"/>
        </w:rPr>
        <w:lastRenderedPageBreak/>
        <w:t>Executive Summary</w:t>
      </w:r>
      <w:bookmarkEnd w:id="3"/>
    </w:p>
    <w:p w14:paraId="02AC1DC7" w14:textId="08AF87E7" w:rsidR="002A05B6" w:rsidRPr="009F49D3" w:rsidRDefault="0077087F" w:rsidP="009F49D3">
      <w:pPr>
        <w:spacing w:after="120" w:line="276" w:lineRule="auto"/>
        <w:rPr>
          <w:lang w:val="en-AU"/>
        </w:rPr>
      </w:pPr>
      <w:r w:rsidRPr="009F49D3">
        <w:rPr>
          <w:lang w:val="en-AU"/>
        </w:rPr>
        <w:t xml:space="preserve">Small </w:t>
      </w:r>
      <w:r w:rsidR="00ED5274" w:rsidRPr="009F49D3">
        <w:rPr>
          <w:lang w:val="en-AU"/>
        </w:rPr>
        <w:t xml:space="preserve">island </w:t>
      </w:r>
      <w:r w:rsidRPr="009F49D3">
        <w:rPr>
          <w:lang w:val="en-AU"/>
        </w:rPr>
        <w:t xml:space="preserve">developing states are among the most vulnerable countries in the world </w:t>
      </w:r>
      <w:r w:rsidR="00E36A4D" w:rsidRPr="009F49D3">
        <w:rPr>
          <w:lang w:val="en-AU"/>
        </w:rPr>
        <w:t xml:space="preserve">with respect </w:t>
      </w:r>
      <w:r w:rsidRPr="009F49D3">
        <w:rPr>
          <w:lang w:val="en-AU"/>
        </w:rPr>
        <w:t xml:space="preserve">to natural disasters and climate change. The UN World Risk Index, which measures exposure to natural hazards and the capacity to cope with these events across 171 countries, places small </w:t>
      </w:r>
      <w:r w:rsidR="00ED5274" w:rsidRPr="009F49D3">
        <w:rPr>
          <w:lang w:val="en-AU"/>
        </w:rPr>
        <w:t xml:space="preserve">island </w:t>
      </w:r>
      <w:r w:rsidRPr="009F49D3">
        <w:rPr>
          <w:lang w:val="en-AU"/>
        </w:rPr>
        <w:t>developing states at the top of its ranking. In addition to the</w:t>
      </w:r>
      <w:r w:rsidR="0001700B" w:rsidRPr="009F49D3">
        <w:rPr>
          <w:lang w:val="en-AU"/>
        </w:rPr>
        <w:t>ir</w:t>
      </w:r>
      <w:r w:rsidRPr="009F49D3">
        <w:rPr>
          <w:lang w:val="en-AU"/>
        </w:rPr>
        <w:t xml:space="preserve"> limited capacity to respond to natural disasters, these countries are more frequently hit by extreme weather events than larger countries</w:t>
      </w:r>
      <w:r w:rsidR="0001700B" w:rsidRPr="009F49D3">
        <w:rPr>
          <w:lang w:val="en-AU"/>
        </w:rPr>
        <w:t>,</w:t>
      </w:r>
      <w:r w:rsidRPr="009F49D3">
        <w:rPr>
          <w:lang w:val="en-AU"/>
        </w:rPr>
        <w:t xml:space="preserve"> and their economic costs are much </w:t>
      </w:r>
      <w:r w:rsidR="00F52085" w:rsidRPr="009F49D3">
        <w:rPr>
          <w:lang w:val="en-AU"/>
        </w:rPr>
        <w:t>high</w:t>
      </w:r>
      <w:r w:rsidRPr="009F49D3">
        <w:rPr>
          <w:lang w:val="en-AU"/>
        </w:rPr>
        <w:t>er</w:t>
      </w:r>
      <w:r w:rsidR="00BC426C" w:rsidRPr="009F49D3">
        <w:rPr>
          <w:lang w:val="en-AU"/>
        </w:rPr>
        <w:t xml:space="preserve"> on average</w:t>
      </w:r>
      <w:r w:rsidRPr="009F49D3">
        <w:rPr>
          <w:lang w:val="en-AU"/>
        </w:rPr>
        <w:t xml:space="preserve"> (IMF, 2016a). Climate change will only worsen the reach of natural disasters by increasing their intensity and frequency (IPCC, 2014).  The UNESCAP 2017 Asia</w:t>
      </w:r>
      <w:r w:rsidR="00BC426C" w:rsidRPr="009F49D3">
        <w:rPr>
          <w:lang w:val="en-AU"/>
        </w:rPr>
        <w:t>-</w:t>
      </w:r>
      <w:r w:rsidRPr="009F49D3">
        <w:rPr>
          <w:lang w:val="en-AU"/>
        </w:rPr>
        <w:t xml:space="preserve">Pacific Disaster Report found that countries with special needs, </w:t>
      </w:r>
      <w:proofErr w:type="gramStart"/>
      <w:r w:rsidRPr="009F49D3">
        <w:rPr>
          <w:lang w:val="en-AU"/>
        </w:rPr>
        <w:t>in particular small</w:t>
      </w:r>
      <w:proofErr w:type="gramEnd"/>
      <w:r w:rsidRPr="009F49D3">
        <w:rPr>
          <w:lang w:val="en-AU"/>
        </w:rPr>
        <w:t xml:space="preserve"> island developing states, were expected to experience average annual losses close to four per cent of their Gross Domestic Product (GDP) as a result of natural disasters and the worsening impacts of climate change.</w:t>
      </w:r>
      <w:r w:rsidR="00BC426C" w:rsidRPr="009F49D3">
        <w:rPr>
          <w:lang w:val="en-AU"/>
        </w:rPr>
        <w:t xml:space="preserve"> </w:t>
      </w:r>
      <w:r w:rsidR="009863AD" w:rsidRPr="009F49D3">
        <w:rPr>
          <w:lang w:val="en-AU"/>
        </w:rPr>
        <w:br/>
      </w:r>
      <w:r w:rsidR="009863AD" w:rsidRPr="009F49D3">
        <w:rPr>
          <w:lang w:val="en-AU"/>
        </w:rPr>
        <w:br/>
      </w:r>
      <w:r w:rsidRPr="009F49D3">
        <w:rPr>
          <w:lang w:val="en-AU"/>
        </w:rPr>
        <w:t xml:space="preserve">Disaster READY is a 4.5 year, </w:t>
      </w:r>
      <w:r w:rsidR="00CD0244" w:rsidRPr="009F49D3">
        <w:rPr>
          <w:lang w:val="en-AU"/>
        </w:rPr>
        <w:t>$</w:t>
      </w:r>
      <w:r w:rsidRPr="009F49D3">
        <w:rPr>
          <w:lang w:val="en-AU"/>
        </w:rPr>
        <w:t>42</w:t>
      </w:r>
      <w:r w:rsidR="003B39C9" w:rsidRPr="009F49D3">
        <w:rPr>
          <w:lang w:val="en-AU"/>
        </w:rPr>
        <w:t>.5</w:t>
      </w:r>
      <w:r w:rsidR="00CD0244" w:rsidRPr="009F49D3">
        <w:rPr>
          <w:lang w:val="en-AU"/>
        </w:rPr>
        <w:t>m</w:t>
      </w:r>
      <w:r w:rsidRPr="009F49D3">
        <w:rPr>
          <w:lang w:val="en-AU"/>
        </w:rPr>
        <w:t xml:space="preserve"> Australian Government program to help Pacific </w:t>
      </w:r>
      <w:r w:rsidR="007178F0" w:rsidRPr="009F49D3">
        <w:rPr>
          <w:lang w:val="en-AU"/>
        </w:rPr>
        <w:t>i</w:t>
      </w:r>
      <w:r w:rsidRPr="009F49D3">
        <w:rPr>
          <w:lang w:val="en-AU"/>
        </w:rPr>
        <w:t xml:space="preserve">sland communities prepare for and build resilience to disasters. </w:t>
      </w:r>
      <w:r w:rsidR="001A705F" w:rsidRPr="009F49D3">
        <w:rPr>
          <w:lang w:val="en-AU"/>
        </w:rPr>
        <w:t xml:space="preserve">The purpose and focus of the Disaster READY program reflects the priorities of the Australian Government’s 2017 Foreign Policy White Paper, which recognises the critical role played by local governments and partners in advancing a secure, self-reliant and prosperous Indo-Pacific. The White Paper emphasises the importance of investing in local and national capacity to better prepare for and respond to natural disasters. </w:t>
      </w:r>
      <w:r w:rsidR="009863AD" w:rsidRPr="009F49D3">
        <w:rPr>
          <w:lang w:val="en-AU"/>
        </w:rPr>
        <w:br/>
      </w:r>
      <w:r w:rsidR="009863AD" w:rsidRPr="009F49D3">
        <w:rPr>
          <w:lang w:val="en-AU"/>
        </w:rPr>
        <w:br/>
      </w:r>
      <w:r w:rsidRPr="009F49D3">
        <w:rPr>
          <w:lang w:val="en-AU"/>
        </w:rPr>
        <w:t xml:space="preserve">The program will be implemented by the Australian Humanitarian Partnership (AHP). The AHP is </w:t>
      </w:r>
      <w:r w:rsidR="000E682D" w:rsidRPr="009F49D3">
        <w:rPr>
          <w:lang w:val="en-AU"/>
        </w:rPr>
        <w:t xml:space="preserve">a </w:t>
      </w:r>
      <w:r w:rsidRPr="009F49D3">
        <w:rPr>
          <w:lang w:val="en-AU"/>
        </w:rPr>
        <w:t>strategic five-year (2017</w:t>
      </w:r>
      <w:r w:rsidR="00413EA6" w:rsidRPr="009F49D3">
        <w:rPr>
          <w:lang w:val="en-AU"/>
        </w:rPr>
        <w:t>–</w:t>
      </w:r>
      <w:r w:rsidRPr="009F49D3">
        <w:rPr>
          <w:lang w:val="en-AU"/>
        </w:rPr>
        <w:t>2021) partnership between the Department of Foreign Affairs and Trade (DFAT) and six Australian NGOs and their consortium partners</w:t>
      </w:r>
      <w:r w:rsidR="00CD0244" w:rsidRPr="009F49D3">
        <w:rPr>
          <w:rStyle w:val="FootnoteReference"/>
          <w:lang w:val="en-AU"/>
        </w:rPr>
        <w:footnoteReference w:id="2"/>
      </w:r>
      <w:r w:rsidRPr="009F49D3">
        <w:rPr>
          <w:lang w:val="en-AU"/>
        </w:rPr>
        <w:t xml:space="preserve">. The AHP delivers more effective, innovative and collaborative humanitarian assistance by allowing Australia to use the networks and access of Australian NGOs to respond to natural disasters and protracted crises in our region and beyond. Additionally, the AHP also has a specific focus on strengthening the ability of local communities and organisations in the Pacific </w:t>
      </w:r>
      <w:r w:rsidR="00F57382" w:rsidRPr="009F49D3">
        <w:rPr>
          <w:lang w:val="en-AU"/>
        </w:rPr>
        <w:t>and Timor</w:t>
      </w:r>
      <w:r w:rsidR="00BC426C" w:rsidRPr="009F49D3">
        <w:rPr>
          <w:lang w:val="en-AU"/>
        </w:rPr>
        <w:t>-</w:t>
      </w:r>
      <w:r w:rsidR="00F57382" w:rsidRPr="009F49D3">
        <w:rPr>
          <w:lang w:val="en-AU"/>
        </w:rPr>
        <w:t xml:space="preserve">Leste </w:t>
      </w:r>
      <w:r w:rsidRPr="009F49D3">
        <w:rPr>
          <w:lang w:val="en-AU"/>
        </w:rPr>
        <w:t>to prepare for and respond to crises. The AHP is supported by the AHP Support Unit (AHP</w:t>
      </w:r>
      <w:r w:rsidR="004249C9" w:rsidRPr="009F49D3">
        <w:rPr>
          <w:lang w:val="en-AU"/>
        </w:rPr>
        <w:t xml:space="preserve"> </w:t>
      </w:r>
      <w:r w:rsidRPr="009F49D3">
        <w:rPr>
          <w:lang w:val="en-AU"/>
        </w:rPr>
        <w:t>SU)</w:t>
      </w:r>
      <w:r w:rsidR="00F3172F" w:rsidRPr="009F49D3">
        <w:rPr>
          <w:lang w:val="en-AU"/>
        </w:rPr>
        <w:t>,</w:t>
      </w:r>
      <w:r w:rsidRPr="009F49D3">
        <w:rPr>
          <w:lang w:val="en-AU"/>
        </w:rPr>
        <w:t xml:space="preserve"> </w:t>
      </w:r>
      <w:r w:rsidR="00F3172F" w:rsidRPr="009F49D3">
        <w:rPr>
          <w:lang w:val="en-AU"/>
        </w:rPr>
        <w:t xml:space="preserve">which </w:t>
      </w:r>
      <w:r w:rsidRPr="009F49D3">
        <w:rPr>
          <w:lang w:val="en-AU"/>
        </w:rPr>
        <w:t>provides support for the partnership administration, coordination and secretariat services, monitoring and evaluation</w:t>
      </w:r>
      <w:r w:rsidR="00F3172F" w:rsidRPr="009F49D3">
        <w:rPr>
          <w:lang w:val="en-AU"/>
        </w:rPr>
        <w:t>,</w:t>
      </w:r>
      <w:r w:rsidRPr="009F49D3">
        <w:rPr>
          <w:lang w:val="en-AU"/>
        </w:rPr>
        <w:t xml:space="preserve"> and communications.</w:t>
      </w:r>
      <w:r w:rsidR="009863AD" w:rsidRPr="009F49D3">
        <w:rPr>
          <w:lang w:val="en-AU"/>
        </w:rPr>
        <w:br/>
      </w:r>
      <w:r w:rsidR="009863AD" w:rsidRPr="009F49D3">
        <w:rPr>
          <w:lang w:val="en-AU"/>
        </w:rPr>
        <w:br/>
      </w:r>
      <w:r w:rsidRPr="009F49D3">
        <w:rPr>
          <w:lang w:val="en-AU"/>
        </w:rPr>
        <w:t xml:space="preserve">The Disaster READY program will focus its resources and efforts in five countries, all of them ranked </w:t>
      </w:r>
      <w:r w:rsidR="001E1992" w:rsidRPr="009F49D3">
        <w:rPr>
          <w:lang w:val="en-AU"/>
        </w:rPr>
        <w:t xml:space="preserve">among </w:t>
      </w:r>
      <w:r w:rsidRPr="009F49D3">
        <w:rPr>
          <w:lang w:val="en-AU"/>
        </w:rPr>
        <w:t>the top at-risk countries in the world</w:t>
      </w:r>
      <w:r w:rsidRPr="009F49D3">
        <w:rPr>
          <w:rStyle w:val="FootnoteReference"/>
          <w:lang w:val="en-AU"/>
        </w:rPr>
        <w:footnoteReference w:id="3"/>
      </w:r>
      <w:r w:rsidRPr="009F49D3">
        <w:rPr>
          <w:lang w:val="en-AU"/>
        </w:rPr>
        <w:t xml:space="preserve">, with Vanuatu ranked as the country with the greatest risk of disaster worldwide. The World Risk </w:t>
      </w:r>
      <w:r w:rsidR="001E1992" w:rsidRPr="009F49D3">
        <w:rPr>
          <w:lang w:val="en-AU"/>
        </w:rPr>
        <w:t xml:space="preserve">Report </w:t>
      </w:r>
      <w:r w:rsidRPr="009F49D3">
        <w:rPr>
          <w:lang w:val="en-AU"/>
        </w:rPr>
        <w:t>(201</w:t>
      </w:r>
      <w:r w:rsidR="001E1992" w:rsidRPr="009F49D3">
        <w:rPr>
          <w:lang w:val="en-AU"/>
        </w:rPr>
        <w:t>7</w:t>
      </w:r>
      <w:r w:rsidRPr="009F49D3">
        <w:rPr>
          <w:lang w:val="en-AU"/>
        </w:rPr>
        <w:t xml:space="preserve">) </w:t>
      </w:r>
      <w:r w:rsidR="001E1992" w:rsidRPr="009F49D3">
        <w:rPr>
          <w:lang w:val="en-AU"/>
        </w:rPr>
        <w:t xml:space="preserve">also </w:t>
      </w:r>
      <w:r w:rsidRPr="009F49D3">
        <w:rPr>
          <w:lang w:val="en-AU"/>
        </w:rPr>
        <w:t>identified Solomon Islands</w:t>
      </w:r>
      <w:r w:rsidR="001E1992" w:rsidRPr="009F49D3">
        <w:rPr>
          <w:lang w:val="en-AU"/>
        </w:rPr>
        <w:t xml:space="preserve"> (6)</w:t>
      </w:r>
      <w:r w:rsidRPr="009F49D3">
        <w:rPr>
          <w:lang w:val="en-AU"/>
        </w:rPr>
        <w:t xml:space="preserve">, </w:t>
      </w:r>
      <w:r w:rsidR="001E1992" w:rsidRPr="009F49D3">
        <w:rPr>
          <w:lang w:val="en-AU"/>
        </w:rPr>
        <w:t>Timor</w:t>
      </w:r>
      <w:r w:rsidR="00F3172F" w:rsidRPr="009F49D3">
        <w:rPr>
          <w:lang w:val="en-AU"/>
        </w:rPr>
        <w:t>-</w:t>
      </w:r>
      <w:r w:rsidR="001E1992" w:rsidRPr="009F49D3">
        <w:rPr>
          <w:lang w:val="en-AU"/>
        </w:rPr>
        <w:t xml:space="preserve">Leste (10), </w:t>
      </w:r>
      <w:r w:rsidRPr="009F49D3">
        <w:rPr>
          <w:lang w:val="en-AU"/>
        </w:rPr>
        <w:t>PNG</w:t>
      </w:r>
      <w:r w:rsidR="001E1992" w:rsidRPr="009F49D3">
        <w:rPr>
          <w:lang w:val="en-AU"/>
        </w:rPr>
        <w:t xml:space="preserve"> (11)</w:t>
      </w:r>
      <w:r w:rsidRPr="009F49D3">
        <w:rPr>
          <w:lang w:val="en-AU"/>
        </w:rPr>
        <w:t xml:space="preserve">, </w:t>
      </w:r>
      <w:r w:rsidR="001E1992" w:rsidRPr="009F49D3">
        <w:rPr>
          <w:lang w:val="en-AU"/>
        </w:rPr>
        <w:t xml:space="preserve">and </w:t>
      </w:r>
      <w:r w:rsidRPr="009F49D3">
        <w:rPr>
          <w:lang w:val="en-AU"/>
        </w:rPr>
        <w:t xml:space="preserve">Fiji </w:t>
      </w:r>
      <w:r w:rsidR="001E1992" w:rsidRPr="009F49D3">
        <w:rPr>
          <w:lang w:val="en-AU"/>
        </w:rPr>
        <w:t xml:space="preserve">(15) </w:t>
      </w:r>
      <w:r w:rsidRPr="009F49D3">
        <w:rPr>
          <w:lang w:val="en-AU"/>
        </w:rPr>
        <w:t xml:space="preserve">amongst the </w:t>
      </w:r>
      <w:r w:rsidR="001E1992" w:rsidRPr="009F49D3">
        <w:rPr>
          <w:lang w:val="en-AU"/>
        </w:rPr>
        <w:t xml:space="preserve">15 </w:t>
      </w:r>
      <w:r w:rsidRPr="009F49D3">
        <w:rPr>
          <w:lang w:val="en-AU"/>
        </w:rPr>
        <w:t>highest disaster</w:t>
      </w:r>
      <w:r w:rsidR="00413EA6" w:rsidRPr="009F49D3">
        <w:rPr>
          <w:lang w:val="en-AU"/>
        </w:rPr>
        <w:t xml:space="preserve"> </w:t>
      </w:r>
      <w:r w:rsidRPr="009F49D3">
        <w:rPr>
          <w:lang w:val="en-AU"/>
        </w:rPr>
        <w:t>risk</w:t>
      </w:r>
      <w:r w:rsidR="001E1992" w:rsidRPr="009F49D3">
        <w:rPr>
          <w:lang w:val="en-AU"/>
        </w:rPr>
        <w:t xml:space="preserve"> countries</w:t>
      </w:r>
      <w:r w:rsidRPr="009F49D3">
        <w:rPr>
          <w:lang w:val="en-AU"/>
        </w:rPr>
        <w:t xml:space="preserve">. </w:t>
      </w:r>
      <w:r w:rsidR="009863AD" w:rsidRPr="009F49D3">
        <w:rPr>
          <w:lang w:val="en-AU"/>
        </w:rPr>
        <w:br/>
      </w:r>
      <w:r w:rsidR="009863AD" w:rsidRPr="009F49D3">
        <w:rPr>
          <w:lang w:val="en-AU"/>
        </w:rPr>
        <w:br/>
      </w:r>
      <w:r w:rsidR="009863AD" w:rsidRPr="009F49D3">
        <w:rPr>
          <w:lang w:val="en-AU"/>
        </w:rPr>
        <w:br/>
      </w:r>
      <w:r w:rsidR="002A05B6" w:rsidRPr="009F49D3">
        <w:rPr>
          <w:lang w:val="en-AU"/>
        </w:rPr>
        <w:t xml:space="preserve">The purpose of Disaster READY is to: </w:t>
      </w:r>
    </w:p>
    <w:p w14:paraId="1FFF07F4" w14:textId="5EFCD20A" w:rsidR="002A05B6" w:rsidRPr="009F49D3" w:rsidRDefault="002A05B6" w:rsidP="00F62884">
      <w:pPr>
        <w:ind w:left="720"/>
        <w:rPr>
          <w:lang w:val="en-AU"/>
        </w:rPr>
      </w:pPr>
      <w:r w:rsidRPr="009F49D3">
        <w:rPr>
          <w:lang w:val="en-AU"/>
        </w:rPr>
        <w:lastRenderedPageBreak/>
        <w:t>Strengthen local humanitarian capability</w:t>
      </w:r>
      <w:r w:rsidR="00AC495F" w:rsidRPr="009F49D3">
        <w:rPr>
          <w:lang w:val="en-AU"/>
        </w:rPr>
        <w:t xml:space="preserve"> and preparedness</w:t>
      </w:r>
      <w:r w:rsidRPr="009F49D3">
        <w:rPr>
          <w:lang w:val="en-AU"/>
        </w:rPr>
        <w:t xml:space="preserve"> in the Pacific and Timor-Leste so that communities are better</w:t>
      </w:r>
      <w:r w:rsidR="00AC495F" w:rsidRPr="009F49D3">
        <w:rPr>
          <w:lang w:val="en-AU"/>
        </w:rPr>
        <w:t xml:space="preserve"> </w:t>
      </w:r>
      <w:r w:rsidRPr="009F49D3">
        <w:rPr>
          <w:lang w:val="en-AU"/>
        </w:rPr>
        <w:t xml:space="preserve">able to respond to </w:t>
      </w:r>
      <w:r w:rsidR="001A705F" w:rsidRPr="009F49D3">
        <w:rPr>
          <w:lang w:val="en-AU"/>
        </w:rPr>
        <w:t xml:space="preserve">and recover from </w:t>
      </w:r>
      <w:r w:rsidRPr="009F49D3">
        <w:rPr>
          <w:lang w:val="en-AU"/>
        </w:rPr>
        <w:t>rapid</w:t>
      </w:r>
      <w:r w:rsidR="00175072" w:rsidRPr="009F49D3">
        <w:rPr>
          <w:lang w:val="en-AU"/>
        </w:rPr>
        <w:t>-</w:t>
      </w:r>
      <w:r w:rsidRPr="009F49D3">
        <w:rPr>
          <w:lang w:val="en-AU"/>
        </w:rPr>
        <w:t xml:space="preserve"> and slow</w:t>
      </w:r>
      <w:r w:rsidR="00F3172F" w:rsidRPr="009F49D3">
        <w:rPr>
          <w:lang w:val="en-AU"/>
        </w:rPr>
        <w:t>-</w:t>
      </w:r>
      <w:r w:rsidRPr="009F49D3">
        <w:rPr>
          <w:lang w:val="en-AU"/>
        </w:rPr>
        <w:t>onset disasters.</w:t>
      </w:r>
    </w:p>
    <w:p w14:paraId="6C37F0F6" w14:textId="2412B382" w:rsidR="00024595" w:rsidRPr="009F49D3" w:rsidRDefault="0077087F" w:rsidP="00110706">
      <w:pPr>
        <w:rPr>
          <w:lang w:val="en-AU"/>
        </w:rPr>
      </w:pPr>
      <w:r w:rsidRPr="009F49D3">
        <w:rPr>
          <w:lang w:val="en-AU"/>
        </w:rPr>
        <w:t>Th</w:t>
      </w:r>
      <w:r w:rsidR="005021B7" w:rsidRPr="009F49D3">
        <w:rPr>
          <w:lang w:val="en-AU"/>
        </w:rPr>
        <w:t>e</w:t>
      </w:r>
      <w:r w:rsidRPr="009F49D3">
        <w:rPr>
          <w:lang w:val="en-AU"/>
        </w:rPr>
        <w:t xml:space="preserve"> Disaster READY design reflects the </w:t>
      </w:r>
      <w:r w:rsidR="003B7DE7" w:rsidRPr="009F49D3">
        <w:rPr>
          <w:lang w:val="en-AU"/>
        </w:rPr>
        <w:t>commitment of</w:t>
      </w:r>
      <w:r w:rsidRPr="009F49D3">
        <w:rPr>
          <w:lang w:val="en-AU"/>
        </w:rPr>
        <w:t xml:space="preserve"> the Australian Government and its NGO </w:t>
      </w:r>
      <w:r w:rsidR="00F57382" w:rsidRPr="009F49D3">
        <w:rPr>
          <w:lang w:val="en-AU"/>
        </w:rPr>
        <w:t>p</w:t>
      </w:r>
      <w:r w:rsidRPr="009F49D3">
        <w:rPr>
          <w:lang w:val="en-AU"/>
        </w:rPr>
        <w:t>artners to work towards the global “localisation” agenda that prioritises local decision</w:t>
      </w:r>
      <w:r w:rsidR="008872C4" w:rsidRPr="009F49D3">
        <w:rPr>
          <w:lang w:val="en-AU"/>
        </w:rPr>
        <w:t>-</w:t>
      </w:r>
      <w:r w:rsidRPr="009F49D3">
        <w:rPr>
          <w:lang w:val="en-AU"/>
        </w:rPr>
        <w:t>making and responses to building resilience and preparedness for disasters. In the Pacific, localisation has been defined as “</w:t>
      </w:r>
      <w:r w:rsidRPr="009F49D3">
        <w:rPr>
          <w:i/>
          <w:lang w:val="en-AU"/>
        </w:rPr>
        <w:t xml:space="preserve">the process of recognising, respecting and strengthening the independence of leadership and decision-making by national actors in humanitarian action, </w:t>
      </w:r>
      <w:proofErr w:type="gramStart"/>
      <w:r w:rsidRPr="009F49D3">
        <w:rPr>
          <w:i/>
          <w:lang w:val="en-AU"/>
        </w:rPr>
        <w:t>in order to</w:t>
      </w:r>
      <w:proofErr w:type="gramEnd"/>
      <w:r w:rsidRPr="009F49D3">
        <w:rPr>
          <w:i/>
          <w:lang w:val="en-AU"/>
        </w:rPr>
        <w:t xml:space="preserve"> better address the needs of the affected populations</w:t>
      </w:r>
      <w:r w:rsidRPr="009F49D3">
        <w:rPr>
          <w:lang w:val="en-AU"/>
        </w:rPr>
        <w:t>”</w:t>
      </w:r>
      <w:r w:rsidR="00892F99" w:rsidRPr="009F49D3">
        <w:rPr>
          <w:rStyle w:val="FootnoteReference"/>
          <w:lang w:val="en-AU"/>
        </w:rPr>
        <w:footnoteReference w:id="4"/>
      </w:r>
      <w:r w:rsidRPr="009F49D3">
        <w:rPr>
          <w:lang w:val="en-AU"/>
        </w:rPr>
        <w:t>. This process requires a shift to greater engagement and control by national actors</w:t>
      </w:r>
      <w:r w:rsidR="00175072" w:rsidRPr="009F49D3">
        <w:rPr>
          <w:lang w:val="en-AU"/>
        </w:rPr>
        <w:t xml:space="preserve"> – </w:t>
      </w:r>
      <w:r w:rsidRPr="009F49D3">
        <w:rPr>
          <w:lang w:val="en-AU"/>
        </w:rPr>
        <w:t xml:space="preserve">government, local NGOs, </w:t>
      </w:r>
      <w:r w:rsidR="00D61ACB" w:rsidRPr="009F49D3">
        <w:rPr>
          <w:lang w:val="en-AU"/>
        </w:rPr>
        <w:t>faith-based</w:t>
      </w:r>
      <w:r w:rsidRPr="009F49D3">
        <w:rPr>
          <w:lang w:val="en-AU"/>
        </w:rPr>
        <w:t xml:space="preserve"> organisations, and the private sector</w:t>
      </w:r>
      <w:r w:rsidR="00175072" w:rsidRPr="009F49D3">
        <w:rPr>
          <w:lang w:val="en-AU"/>
        </w:rPr>
        <w:t xml:space="preserve"> – </w:t>
      </w:r>
      <w:r w:rsidRPr="009F49D3">
        <w:rPr>
          <w:lang w:val="en-AU"/>
        </w:rPr>
        <w:t>and a corresponding change in behavio</w:t>
      </w:r>
      <w:r w:rsidR="00F3172F" w:rsidRPr="009F49D3">
        <w:rPr>
          <w:lang w:val="en-AU"/>
        </w:rPr>
        <w:t>u</w:t>
      </w:r>
      <w:r w:rsidRPr="009F49D3">
        <w:rPr>
          <w:lang w:val="en-AU"/>
        </w:rPr>
        <w:t xml:space="preserve">r by international actors and organisations. The Disaster READY program reflects this direction. </w:t>
      </w:r>
      <w:r w:rsidR="009863AD" w:rsidRPr="00394C86">
        <w:rPr>
          <w:lang w:val="en-AU"/>
        </w:rPr>
        <w:br/>
      </w:r>
      <w:r w:rsidR="009863AD" w:rsidRPr="00394C86">
        <w:rPr>
          <w:lang w:val="en-AU"/>
        </w:rPr>
        <w:br/>
      </w:r>
      <w:r w:rsidRPr="009F49D3">
        <w:rPr>
          <w:lang w:val="en-AU"/>
        </w:rPr>
        <w:t>The Disaster R</w:t>
      </w:r>
      <w:r w:rsidR="007C6B5A" w:rsidRPr="009F49D3">
        <w:rPr>
          <w:lang w:val="en-AU"/>
        </w:rPr>
        <w:t>EADY</w:t>
      </w:r>
      <w:r w:rsidRPr="009F49D3">
        <w:rPr>
          <w:lang w:val="en-AU"/>
        </w:rPr>
        <w:t xml:space="preserve"> design process has been instrumental in building the right foundations for collaboration and synergies in implementation at the country level</w:t>
      </w:r>
      <w:r w:rsidRPr="009F49D3">
        <w:rPr>
          <w:rStyle w:val="FootnoteReference"/>
          <w:lang w:val="en-AU"/>
        </w:rPr>
        <w:footnoteReference w:id="5"/>
      </w:r>
      <w:r w:rsidRPr="009F49D3">
        <w:rPr>
          <w:lang w:val="en-AU"/>
        </w:rPr>
        <w:t xml:space="preserve">. The DFAT Humanitarian Response and Recovery Branch and AHP NGOs headquartered in Australia have set the overarching framework and strategic direction, whilst the implementation strategies have been designed at the country level in collaboration with DFAT Post, national governments, local NGOs (including </w:t>
      </w:r>
      <w:r w:rsidR="00175072" w:rsidRPr="009F49D3">
        <w:rPr>
          <w:lang w:val="en-AU"/>
        </w:rPr>
        <w:t>d</w:t>
      </w:r>
      <w:r w:rsidRPr="009F49D3">
        <w:rPr>
          <w:lang w:val="en-AU"/>
        </w:rPr>
        <w:t xml:space="preserve">isabled </w:t>
      </w:r>
      <w:r w:rsidR="00175072" w:rsidRPr="009F49D3">
        <w:rPr>
          <w:lang w:val="en-AU"/>
        </w:rPr>
        <w:t>p</w:t>
      </w:r>
      <w:r w:rsidRPr="009F49D3">
        <w:rPr>
          <w:lang w:val="en-AU"/>
        </w:rPr>
        <w:t xml:space="preserve">eople’s </w:t>
      </w:r>
      <w:r w:rsidR="00175072" w:rsidRPr="009F49D3">
        <w:rPr>
          <w:lang w:val="en-AU"/>
        </w:rPr>
        <w:t>o</w:t>
      </w:r>
      <w:r w:rsidRPr="009F49D3">
        <w:rPr>
          <w:lang w:val="en-AU"/>
        </w:rPr>
        <w:t>rganisations (DPOs)</w:t>
      </w:r>
      <w:r w:rsidR="009E6554" w:rsidRPr="009F49D3">
        <w:rPr>
          <w:lang w:val="en-AU"/>
        </w:rPr>
        <w:t xml:space="preserve"> and women’s organisations</w:t>
      </w:r>
      <w:r w:rsidRPr="009F49D3">
        <w:rPr>
          <w:lang w:val="en-AU"/>
        </w:rPr>
        <w:t>) and the private sector. DFAT and AHP NGOs are committed to continuing a strengthened approach to country</w:t>
      </w:r>
      <w:r w:rsidR="00467A61" w:rsidRPr="009F49D3">
        <w:rPr>
          <w:lang w:val="en-AU"/>
        </w:rPr>
        <w:t>-</w:t>
      </w:r>
      <w:r w:rsidRPr="009F49D3">
        <w:rPr>
          <w:lang w:val="en-AU"/>
        </w:rPr>
        <w:t xml:space="preserve">driven implementation and collaboration, as evidenced through the country </w:t>
      </w:r>
      <w:r w:rsidR="00F57382" w:rsidRPr="009F49D3">
        <w:rPr>
          <w:lang w:val="en-AU"/>
        </w:rPr>
        <w:t xml:space="preserve">plans </w:t>
      </w:r>
      <w:r w:rsidR="00715E7C" w:rsidRPr="009F49D3">
        <w:rPr>
          <w:lang w:val="en-AU"/>
        </w:rPr>
        <w:t xml:space="preserve">(Annex 13) </w:t>
      </w:r>
      <w:r w:rsidR="00F57382" w:rsidRPr="009F49D3">
        <w:rPr>
          <w:lang w:val="en-AU"/>
        </w:rPr>
        <w:t>and country-</w:t>
      </w:r>
      <w:r w:rsidRPr="009F49D3">
        <w:rPr>
          <w:lang w:val="en-AU"/>
        </w:rPr>
        <w:t xml:space="preserve">level </w:t>
      </w:r>
      <w:r w:rsidR="00F57382" w:rsidRPr="009F49D3">
        <w:rPr>
          <w:lang w:val="en-AU"/>
        </w:rPr>
        <w:t xml:space="preserve">NGO </w:t>
      </w:r>
      <w:r w:rsidRPr="009F49D3">
        <w:rPr>
          <w:lang w:val="en-AU"/>
        </w:rPr>
        <w:t>designs</w:t>
      </w:r>
      <w:r w:rsidR="00715E7C" w:rsidRPr="009F49D3">
        <w:rPr>
          <w:lang w:val="en-AU"/>
        </w:rPr>
        <w:t xml:space="preserve">, </w:t>
      </w:r>
      <w:r w:rsidRPr="009F49D3">
        <w:rPr>
          <w:lang w:val="en-AU"/>
        </w:rPr>
        <w:t>and the governance structure that includes country</w:t>
      </w:r>
      <w:r w:rsidR="00467A61" w:rsidRPr="009F49D3">
        <w:rPr>
          <w:lang w:val="en-AU"/>
        </w:rPr>
        <w:t>-</w:t>
      </w:r>
      <w:r w:rsidRPr="009F49D3">
        <w:rPr>
          <w:lang w:val="en-AU"/>
        </w:rPr>
        <w:t xml:space="preserve">level committees. </w:t>
      </w:r>
      <w:r w:rsidR="00467A61" w:rsidRPr="009F49D3">
        <w:rPr>
          <w:lang w:val="en-AU"/>
        </w:rPr>
        <w:t>In peace time t</w:t>
      </w:r>
      <w:r w:rsidRPr="009F49D3">
        <w:rPr>
          <w:lang w:val="en-AU"/>
        </w:rPr>
        <w:t>hese strengthened relationships will enhance collaborative responses by AHP NGOs in the event of a disaster.</w:t>
      </w:r>
      <w:r w:rsidR="009863AD" w:rsidRPr="00394C86">
        <w:rPr>
          <w:lang w:val="en-AU"/>
        </w:rPr>
        <w:br/>
      </w:r>
      <w:r w:rsidR="009863AD" w:rsidRPr="00394C86">
        <w:rPr>
          <w:lang w:val="en-AU"/>
        </w:rPr>
        <w:br/>
      </w:r>
      <w:r w:rsidRPr="009F49D3">
        <w:rPr>
          <w:lang w:val="en-AU"/>
        </w:rPr>
        <w:t xml:space="preserve">Disaster READY will support women, </w:t>
      </w:r>
      <w:r w:rsidR="001A17F9" w:rsidRPr="009F49D3">
        <w:rPr>
          <w:lang w:val="en-AU"/>
        </w:rPr>
        <w:t>people with disabilities</w:t>
      </w:r>
      <w:r w:rsidRPr="009F49D3">
        <w:rPr>
          <w:lang w:val="en-AU"/>
        </w:rPr>
        <w:t>, youth and children to have their needs recogni</w:t>
      </w:r>
      <w:r w:rsidR="00F57382" w:rsidRPr="009F49D3">
        <w:rPr>
          <w:lang w:val="en-AU"/>
        </w:rPr>
        <w:t>s</w:t>
      </w:r>
      <w:r w:rsidRPr="009F49D3">
        <w:rPr>
          <w:lang w:val="en-AU"/>
        </w:rPr>
        <w:t>ed and met through community, sub</w:t>
      </w:r>
      <w:r w:rsidR="00467A61" w:rsidRPr="009F49D3">
        <w:rPr>
          <w:lang w:val="en-AU"/>
        </w:rPr>
        <w:t>-</w:t>
      </w:r>
      <w:r w:rsidRPr="009F49D3">
        <w:rPr>
          <w:lang w:val="en-AU"/>
        </w:rPr>
        <w:t>national and national mechanisms for disaster preparedness and response. NGOs will engage with communities and sub</w:t>
      </w:r>
      <w:r w:rsidR="00467A61" w:rsidRPr="009F49D3">
        <w:rPr>
          <w:lang w:val="en-AU"/>
        </w:rPr>
        <w:t>-</w:t>
      </w:r>
      <w:r w:rsidRPr="009F49D3">
        <w:rPr>
          <w:lang w:val="en-AU"/>
        </w:rPr>
        <w:t>national and national disaster management structures to improve coordination and government responsiveness to community needs, and to strengthen the leadership and influence of national actors in the humanitarian system. The program goes some way to addressing the increased vulnerabilities created by climate change.</w:t>
      </w:r>
      <w:r w:rsidR="009863AD" w:rsidRPr="00394C86">
        <w:rPr>
          <w:lang w:val="en-AU"/>
        </w:rPr>
        <w:br/>
      </w:r>
      <w:r w:rsidR="009863AD" w:rsidRPr="00394C86">
        <w:rPr>
          <w:lang w:val="en-AU"/>
        </w:rPr>
        <w:br/>
      </w:r>
      <w:r w:rsidR="00E45B8F" w:rsidRPr="009F49D3">
        <w:rPr>
          <w:lang w:val="en-AU"/>
        </w:rPr>
        <w:t>F</w:t>
      </w:r>
      <w:r w:rsidR="00F1397D" w:rsidRPr="009F49D3">
        <w:rPr>
          <w:lang w:val="en-AU"/>
        </w:rPr>
        <w:t>ive</w:t>
      </w:r>
      <w:r w:rsidR="00024595" w:rsidRPr="009F49D3">
        <w:rPr>
          <w:lang w:val="en-AU"/>
        </w:rPr>
        <w:t xml:space="preserve"> end-of-investment </w:t>
      </w:r>
      <w:r w:rsidR="00E45B8F" w:rsidRPr="009F49D3">
        <w:rPr>
          <w:lang w:val="en-AU"/>
        </w:rPr>
        <w:t>objectives are</w:t>
      </w:r>
      <w:r w:rsidR="00F1397D" w:rsidRPr="009F49D3">
        <w:rPr>
          <w:lang w:val="en-AU"/>
        </w:rPr>
        <w:t xml:space="preserve"> envisaged by </w:t>
      </w:r>
      <w:r w:rsidR="00656163" w:rsidRPr="009F49D3">
        <w:rPr>
          <w:lang w:val="en-AU"/>
        </w:rPr>
        <w:t xml:space="preserve">June </w:t>
      </w:r>
      <w:r w:rsidR="00F1397D" w:rsidRPr="009F49D3">
        <w:rPr>
          <w:lang w:val="en-AU"/>
        </w:rPr>
        <w:t>2022</w:t>
      </w:r>
      <w:r w:rsidR="00E45B8F" w:rsidRPr="009F49D3">
        <w:rPr>
          <w:lang w:val="en-AU"/>
        </w:rPr>
        <w:t>. These are based on the strengths and capacities of AHP NGOs</w:t>
      </w:r>
      <w:r w:rsidR="003F6438" w:rsidRPr="009F49D3">
        <w:rPr>
          <w:lang w:val="en-AU"/>
        </w:rPr>
        <w:t xml:space="preserve"> and </w:t>
      </w:r>
      <w:r w:rsidR="003D6109" w:rsidRPr="009F49D3">
        <w:rPr>
          <w:lang w:val="en-AU"/>
        </w:rPr>
        <w:t>country contexts</w:t>
      </w:r>
      <w:r w:rsidR="00064E3E" w:rsidRPr="009F49D3">
        <w:rPr>
          <w:rStyle w:val="FootnoteReference"/>
          <w:b/>
          <w:lang w:val="en-AU"/>
        </w:rPr>
        <w:footnoteReference w:id="6"/>
      </w:r>
      <w:r w:rsidR="00064E3E" w:rsidRPr="009F49D3">
        <w:rPr>
          <w:lang w:val="en-AU"/>
        </w:rPr>
        <w:t>:</w:t>
      </w:r>
    </w:p>
    <w:p w14:paraId="39240375" w14:textId="07E1DE83" w:rsidR="00024595" w:rsidRPr="009F49D3" w:rsidRDefault="00024595" w:rsidP="006428F6">
      <w:pPr>
        <w:pStyle w:val="ListParagraph"/>
        <w:numPr>
          <w:ilvl w:val="0"/>
          <w:numId w:val="6"/>
        </w:numPr>
      </w:pPr>
      <w:r w:rsidRPr="009F49D3">
        <w:rPr>
          <w:b/>
        </w:rPr>
        <w:t>Communities are better prepared for rapid</w:t>
      </w:r>
      <w:r w:rsidR="00175072" w:rsidRPr="009F49D3">
        <w:rPr>
          <w:b/>
        </w:rPr>
        <w:t>-</w:t>
      </w:r>
      <w:r w:rsidRPr="009F49D3">
        <w:rPr>
          <w:b/>
        </w:rPr>
        <w:t xml:space="preserve"> and slow</w:t>
      </w:r>
      <w:r w:rsidR="00467A61" w:rsidRPr="009F49D3">
        <w:rPr>
          <w:b/>
        </w:rPr>
        <w:t>-</w:t>
      </w:r>
      <w:r w:rsidRPr="009F49D3">
        <w:rPr>
          <w:b/>
        </w:rPr>
        <w:t>onset disasters</w:t>
      </w:r>
      <w:r w:rsidR="009B6E88" w:rsidRPr="009F49D3">
        <w:rPr>
          <w:b/>
        </w:rPr>
        <w:t>:</w:t>
      </w:r>
      <w:r w:rsidR="009B6E88" w:rsidRPr="009F49D3">
        <w:t xml:space="preserve"> communities understand disaster</w:t>
      </w:r>
      <w:r w:rsidR="00127911" w:rsidRPr="009F49D3">
        <w:t xml:space="preserve"> and climate</w:t>
      </w:r>
      <w:r w:rsidR="009B6E88" w:rsidRPr="009F49D3">
        <w:t xml:space="preserve"> risks</w:t>
      </w:r>
      <w:r w:rsidR="00670B1F" w:rsidRPr="009F49D3">
        <w:t xml:space="preserve"> in their location and have the resources, skills and knowledge to reduce risks and prepare for and respond to disasters. They have mechanisms in place to respond to both slow</w:t>
      </w:r>
      <w:r w:rsidR="00467A61" w:rsidRPr="009F49D3">
        <w:t>-</w:t>
      </w:r>
      <w:r w:rsidR="00175072" w:rsidRPr="009F49D3">
        <w:t>onset</w:t>
      </w:r>
      <w:r w:rsidR="00670B1F" w:rsidRPr="009F49D3">
        <w:t xml:space="preserve"> and rapid</w:t>
      </w:r>
      <w:r w:rsidR="00467A61" w:rsidRPr="009F49D3">
        <w:t>-</w:t>
      </w:r>
      <w:r w:rsidR="00670B1F" w:rsidRPr="009F49D3">
        <w:t>onset disasters, including early warning systems that are accessible to all.</w:t>
      </w:r>
    </w:p>
    <w:p w14:paraId="35A57440" w14:textId="7C7D4EF3" w:rsidR="00024595" w:rsidRPr="009F49D3" w:rsidRDefault="00467A61" w:rsidP="006428F6">
      <w:pPr>
        <w:pStyle w:val="ListParagraph"/>
        <w:numPr>
          <w:ilvl w:val="0"/>
          <w:numId w:val="6"/>
        </w:numPr>
      </w:pPr>
      <w:r w:rsidRPr="009F49D3">
        <w:rPr>
          <w:b/>
        </w:rPr>
        <w:lastRenderedPageBreak/>
        <w:t>The rights and needs of w</w:t>
      </w:r>
      <w:r w:rsidR="00024595" w:rsidRPr="009F49D3">
        <w:rPr>
          <w:b/>
        </w:rPr>
        <w:t>omen, people with di</w:t>
      </w:r>
      <w:r w:rsidR="007407AC" w:rsidRPr="009F49D3">
        <w:rPr>
          <w:b/>
        </w:rPr>
        <w:t>sabilities</w:t>
      </w:r>
      <w:r w:rsidR="00863F9C" w:rsidRPr="009F49D3">
        <w:rPr>
          <w:rStyle w:val="FootnoteReference"/>
          <w:b/>
        </w:rPr>
        <w:footnoteReference w:id="7"/>
      </w:r>
      <w:r w:rsidR="007407AC" w:rsidRPr="009F49D3">
        <w:rPr>
          <w:b/>
        </w:rPr>
        <w:t>, youth and children</w:t>
      </w:r>
      <w:r w:rsidR="00024595" w:rsidRPr="009F49D3">
        <w:rPr>
          <w:b/>
        </w:rPr>
        <w:t xml:space="preserve"> are being met in disaster preparedness and response at all levels</w:t>
      </w:r>
      <w:r w:rsidR="00670B1F" w:rsidRPr="009F49D3">
        <w:t xml:space="preserve">. </w:t>
      </w:r>
      <w:r w:rsidR="007407AC" w:rsidRPr="009F49D3">
        <w:t xml:space="preserve">Women, people with disabilities, </w:t>
      </w:r>
      <w:r w:rsidRPr="009F49D3">
        <w:t xml:space="preserve">and </w:t>
      </w:r>
      <w:r w:rsidR="00670B1F" w:rsidRPr="009F49D3">
        <w:t>youth</w:t>
      </w:r>
      <w:r w:rsidR="007407AC" w:rsidRPr="009F49D3">
        <w:t xml:space="preserve"> </w:t>
      </w:r>
      <w:r w:rsidR="00670B1F" w:rsidRPr="009F49D3">
        <w:t xml:space="preserve">are represented on </w:t>
      </w:r>
      <w:r w:rsidR="005803C2" w:rsidRPr="009F49D3">
        <w:t>community, sub</w:t>
      </w:r>
      <w:r w:rsidRPr="009F49D3">
        <w:t>-</w:t>
      </w:r>
      <w:r w:rsidR="005803C2" w:rsidRPr="009F49D3">
        <w:t xml:space="preserve">national and national </w:t>
      </w:r>
      <w:r w:rsidR="00670B1F" w:rsidRPr="009F49D3">
        <w:t>disaster committees</w:t>
      </w:r>
      <w:r w:rsidR="005803C2" w:rsidRPr="009F49D3">
        <w:t>. Children are represented on school disaster committees.</w:t>
      </w:r>
      <w:r w:rsidR="00670B1F" w:rsidRPr="009F49D3">
        <w:t xml:space="preserve"> </w:t>
      </w:r>
      <w:r w:rsidR="005803C2" w:rsidRPr="009F49D3">
        <w:t>H</w:t>
      </w:r>
      <w:r w:rsidR="00670B1F" w:rsidRPr="009F49D3">
        <w:t xml:space="preserve">umanitarian operating procedures (including </w:t>
      </w:r>
      <w:r w:rsidR="00175072" w:rsidRPr="009F49D3">
        <w:t>those of</w:t>
      </w:r>
      <w:r w:rsidR="00670B1F" w:rsidRPr="009F49D3">
        <w:t xml:space="preserve"> AHP NGOs) are responsive to the</w:t>
      </w:r>
      <w:r w:rsidR="005803C2" w:rsidRPr="009F49D3">
        <w:t xml:space="preserve"> needs of women, people with disabilities, youth and children</w:t>
      </w:r>
      <w:r w:rsidR="00670B1F" w:rsidRPr="009F49D3">
        <w:t xml:space="preserve">. </w:t>
      </w:r>
      <w:r w:rsidR="00DD6A6D" w:rsidRPr="009F49D3">
        <w:t>All community members</w:t>
      </w:r>
      <w:r w:rsidR="00175072" w:rsidRPr="009F49D3">
        <w:t>,</w:t>
      </w:r>
      <w:r w:rsidR="00DD6A6D" w:rsidRPr="009F49D3">
        <w:t xml:space="preserve"> including m</w:t>
      </w:r>
      <w:r w:rsidR="00670B1F" w:rsidRPr="009F49D3">
        <w:t>en</w:t>
      </w:r>
      <w:r w:rsidR="00DD6A6D" w:rsidRPr="009F49D3">
        <w:t xml:space="preserve"> and</w:t>
      </w:r>
      <w:r w:rsidR="00670B1F" w:rsidRPr="009F49D3">
        <w:t xml:space="preserve"> boys, </w:t>
      </w:r>
      <w:r w:rsidR="00863F9C" w:rsidRPr="009F49D3">
        <w:t xml:space="preserve">faith </w:t>
      </w:r>
      <w:r w:rsidR="00670B1F" w:rsidRPr="009F49D3">
        <w:t>and other community leaders</w:t>
      </w:r>
      <w:r w:rsidR="0093020B" w:rsidRPr="009F49D3">
        <w:t>,</w:t>
      </w:r>
      <w:r w:rsidR="00670B1F" w:rsidRPr="009F49D3">
        <w:t xml:space="preserve"> and government staff address the barriers that prevent the rights and needs of women, people with disabilities, youth and children being met.</w:t>
      </w:r>
    </w:p>
    <w:p w14:paraId="27697F70" w14:textId="6E4AC07A" w:rsidR="00024595" w:rsidRPr="009F49D3" w:rsidRDefault="00024595" w:rsidP="006428F6">
      <w:pPr>
        <w:pStyle w:val="ListParagraph"/>
        <w:numPr>
          <w:ilvl w:val="0"/>
          <w:numId w:val="6"/>
        </w:numPr>
      </w:pPr>
      <w:r w:rsidRPr="009F49D3">
        <w:rPr>
          <w:b/>
        </w:rPr>
        <w:t>Government, NGOs, the private sector and communities coordinate more effectively for inclusive dis</w:t>
      </w:r>
      <w:r w:rsidR="00434D00" w:rsidRPr="009F49D3">
        <w:rPr>
          <w:b/>
        </w:rPr>
        <w:t>aster preparedness and response.</w:t>
      </w:r>
      <w:r w:rsidR="00434D00" w:rsidRPr="009F49D3">
        <w:t xml:space="preserve"> </w:t>
      </w:r>
      <w:r w:rsidR="007407AC" w:rsidRPr="009F49D3">
        <w:t>National and sub</w:t>
      </w:r>
      <w:r w:rsidR="0093020B" w:rsidRPr="009F49D3">
        <w:t>-</w:t>
      </w:r>
      <w:r w:rsidR="00434D00" w:rsidRPr="009F49D3">
        <w:t xml:space="preserve">national disaster mechanisms function and respond to community needs during disasters, including through accessible and safe evacuation centres and improved communications for preparedness, early warning, disaster impact and response. Regional approaches to cash transfers and logistics are </w:t>
      </w:r>
      <w:r w:rsidR="009957CC" w:rsidRPr="009F49D3">
        <w:t xml:space="preserve">adapted to and </w:t>
      </w:r>
      <w:r w:rsidR="00434D00" w:rsidRPr="009F49D3">
        <w:t xml:space="preserve">operational </w:t>
      </w:r>
      <w:r w:rsidR="009957CC" w:rsidRPr="009F49D3">
        <w:t>in some countries</w:t>
      </w:r>
      <w:r w:rsidR="00434D00" w:rsidRPr="009F49D3">
        <w:t>.</w:t>
      </w:r>
      <w:r w:rsidR="0077087F" w:rsidRPr="009F49D3">
        <w:t xml:space="preserve"> NGOs work with the private sector on improved communications, logistics and cash transfers.</w:t>
      </w:r>
    </w:p>
    <w:p w14:paraId="539A0665" w14:textId="3BAD5FC4" w:rsidR="00F1397D" w:rsidRPr="009F49D3" w:rsidRDefault="00024595" w:rsidP="006428F6">
      <w:pPr>
        <w:pStyle w:val="ListParagraph"/>
        <w:numPr>
          <w:ilvl w:val="0"/>
          <w:numId w:val="6"/>
        </w:numPr>
      </w:pPr>
      <w:r w:rsidRPr="009F49D3">
        <w:rPr>
          <w:b/>
        </w:rPr>
        <w:t xml:space="preserve">National NGOs and </w:t>
      </w:r>
      <w:r w:rsidR="00802F65" w:rsidRPr="009F49D3">
        <w:rPr>
          <w:b/>
        </w:rPr>
        <w:t>faith</w:t>
      </w:r>
      <w:r w:rsidR="0093020B" w:rsidRPr="009F49D3">
        <w:rPr>
          <w:b/>
        </w:rPr>
        <w:t>-</w:t>
      </w:r>
      <w:r w:rsidR="00802F65" w:rsidRPr="009F49D3">
        <w:rPr>
          <w:b/>
        </w:rPr>
        <w:t xml:space="preserve">based </w:t>
      </w:r>
      <w:r w:rsidR="003D6409" w:rsidRPr="009F49D3">
        <w:rPr>
          <w:b/>
        </w:rPr>
        <w:t xml:space="preserve">organisations </w:t>
      </w:r>
      <w:r w:rsidRPr="009F49D3">
        <w:rPr>
          <w:b/>
        </w:rPr>
        <w:t>have more influence and capacity in the country humanitarian system</w:t>
      </w:r>
      <w:r w:rsidR="009512FA" w:rsidRPr="009F49D3">
        <w:rPr>
          <w:b/>
        </w:rPr>
        <w:t xml:space="preserve">. </w:t>
      </w:r>
      <w:r w:rsidR="004B4B01" w:rsidRPr="009F49D3">
        <w:t xml:space="preserve">Local NGOs </w:t>
      </w:r>
      <w:r w:rsidR="009512FA" w:rsidRPr="009F49D3">
        <w:t xml:space="preserve">and </w:t>
      </w:r>
      <w:r w:rsidR="00802F65" w:rsidRPr="009F49D3">
        <w:t>faith</w:t>
      </w:r>
      <w:r w:rsidR="0093020B" w:rsidRPr="009F49D3">
        <w:t>-</w:t>
      </w:r>
      <w:r w:rsidR="00802F65" w:rsidRPr="009F49D3">
        <w:t xml:space="preserve">based organisations </w:t>
      </w:r>
      <w:r w:rsidR="009512FA" w:rsidRPr="009F49D3">
        <w:t xml:space="preserve">are </w:t>
      </w:r>
      <w:r w:rsidR="007407AC" w:rsidRPr="009F49D3">
        <w:t>represented in national and sub</w:t>
      </w:r>
      <w:r w:rsidR="0093020B" w:rsidRPr="009F49D3">
        <w:t>-</w:t>
      </w:r>
      <w:r w:rsidR="009512FA" w:rsidRPr="009F49D3">
        <w:t>national disaster committees</w:t>
      </w:r>
      <w:r w:rsidR="00F36B80" w:rsidRPr="009F49D3">
        <w:t xml:space="preserve">. Together </w:t>
      </w:r>
      <w:r w:rsidR="009512FA" w:rsidRPr="009F49D3">
        <w:t>with national offices of INGOs</w:t>
      </w:r>
      <w:r w:rsidR="00F36B80" w:rsidRPr="009F49D3">
        <w:t>, they</w:t>
      </w:r>
      <w:r w:rsidR="009512FA" w:rsidRPr="009F49D3">
        <w:t xml:space="preserve"> have improved organi</w:t>
      </w:r>
      <w:r w:rsidR="00F57382" w:rsidRPr="009F49D3">
        <w:t>s</w:t>
      </w:r>
      <w:r w:rsidR="009512FA" w:rsidRPr="009F49D3">
        <w:t xml:space="preserve">ational capacity for disaster preparedness and response </w:t>
      </w:r>
      <w:r w:rsidR="00F36B80" w:rsidRPr="009F49D3">
        <w:t xml:space="preserve">as well as </w:t>
      </w:r>
      <w:r w:rsidR="009512FA" w:rsidRPr="009F49D3">
        <w:t xml:space="preserve">increased influence in the country humanitarian system. </w:t>
      </w:r>
    </w:p>
    <w:p w14:paraId="6958040C" w14:textId="7671A272" w:rsidR="00F1397D" w:rsidRPr="009F49D3" w:rsidRDefault="00024595" w:rsidP="006428F6">
      <w:pPr>
        <w:pStyle w:val="ListParagraph"/>
        <w:numPr>
          <w:ilvl w:val="0"/>
          <w:numId w:val="6"/>
        </w:numPr>
      </w:pPr>
      <w:r w:rsidRPr="009F49D3">
        <w:rPr>
          <w:b/>
        </w:rPr>
        <w:t xml:space="preserve">AHP NGOs </w:t>
      </w:r>
      <w:r w:rsidR="007407AC" w:rsidRPr="009F49D3">
        <w:rPr>
          <w:b/>
        </w:rPr>
        <w:t>work effectively together and with other relevant stakeholders</w:t>
      </w:r>
      <w:r w:rsidR="006E755A" w:rsidRPr="009F49D3">
        <w:rPr>
          <w:b/>
        </w:rPr>
        <w:t xml:space="preserve">. </w:t>
      </w:r>
      <w:r w:rsidR="006E755A" w:rsidRPr="009F49D3">
        <w:t xml:space="preserve">AHP NGOs </w:t>
      </w:r>
      <w:r w:rsidR="00010D1F" w:rsidRPr="009F49D3">
        <w:t xml:space="preserve">coordinate with </w:t>
      </w:r>
      <w:r w:rsidR="0060166F">
        <w:t xml:space="preserve">government, </w:t>
      </w:r>
      <w:r w:rsidR="00010D1F" w:rsidRPr="009F49D3">
        <w:t xml:space="preserve">the Red Cross, </w:t>
      </w:r>
      <w:r w:rsidR="00A35A2E">
        <w:t xml:space="preserve">women’s and other NGOs, </w:t>
      </w:r>
      <w:r w:rsidR="0060166F">
        <w:t xml:space="preserve">and </w:t>
      </w:r>
      <w:r w:rsidR="00010D1F" w:rsidRPr="009F49D3">
        <w:t xml:space="preserve">donors; </w:t>
      </w:r>
      <w:r w:rsidR="0093020B" w:rsidRPr="009F49D3">
        <w:t xml:space="preserve">they </w:t>
      </w:r>
      <w:r w:rsidR="00010D1F" w:rsidRPr="009F49D3">
        <w:t>champion and demonstrat</w:t>
      </w:r>
      <w:r w:rsidR="00F36B80" w:rsidRPr="009F49D3">
        <w:t>e</w:t>
      </w:r>
      <w:r w:rsidR="00010D1F" w:rsidRPr="009F49D3">
        <w:t xml:space="preserve"> inclusive appro</w:t>
      </w:r>
      <w:r w:rsidR="007407AC" w:rsidRPr="009F49D3">
        <w:t>aches and us</w:t>
      </w:r>
      <w:r w:rsidR="00F36B80" w:rsidRPr="009F49D3">
        <w:t>e</w:t>
      </w:r>
      <w:r w:rsidR="007407AC" w:rsidRPr="009F49D3">
        <w:t xml:space="preserve"> good practices i</w:t>
      </w:r>
      <w:r w:rsidR="00010D1F" w:rsidRPr="009F49D3">
        <w:t>n disaster preparedness and risk reduction in their development programming.</w:t>
      </w:r>
    </w:p>
    <w:p w14:paraId="391955F8" w14:textId="0071DE89" w:rsidR="004736E1" w:rsidRPr="009F49D3" w:rsidRDefault="004D445F" w:rsidP="00110706">
      <w:pPr>
        <w:rPr>
          <w:lang w:val="en-AU"/>
        </w:rPr>
      </w:pPr>
      <w:r w:rsidRPr="009F49D3">
        <w:rPr>
          <w:lang w:val="en-AU"/>
        </w:rPr>
        <w:t xml:space="preserve">The </w:t>
      </w:r>
      <w:r w:rsidR="004736E1" w:rsidRPr="009F49D3">
        <w:rPr>
          <w:lang w:val="en-AU"/>
        </w:rPr>
        <w:t>AHP Disaster READY</w:t>
      </w:r>
      <w:r w:rsidR="005021B7" w:rsidRPr="009F49D3">
        <w:rPr>
          <w:lang w:val="en-AU"/>
        </w:rPr>
        <w:t xml:space="preserve"> design</w:t>
      </w:r>
      <w:r w:rsidR="004736E1" w:rsidRPr="009F49D3">
        <w:rPr>
          <w:lang w:val="en-AU"/>
        </w:rPr>
        <w:t xml:space="preserve"> </w:t>
      </w:r>
      <w:r w:rsidR="00E524C0" w:rsidRPr="009F49D3">
        <w:rPr>
          <w:lang w:val="en-AU"/>
        </w:rPr>
        <w:t>comprises</w:t>
      </w:r>
      <w:r w:rsidR="004736E1" w:rsidRPr="009F49D3">
        <w:rPr>
          <w:lang w:val="en-AU"/>
        </w:rPr>
        <w:t xml:space="preserve"> </w:t>
      </w:r>
      <w:r w:rsidR="00ED7282" w:rsidRPr="009F49D3">
        <w:rPr>
          <w:lang w:val="en-AU"/>
        </w:rPr>
        <w:t>three</w:t>
      </w:r>
      <w:r w:rsidR="004736E1" w:rsidRPr="009F49D3">
        <w:rPr>
          <w:lang w:val="en-AU"/>
        </w:rPr>
        <w:t xml:space="preserve"> levels: </w:t>
      </w:r>
    </w:p>
    <w:p w14:paraId="7EF98278" w14:textId="2B72EFA2" w:rsidR="004736E1" w:rsidRPr="009F49D3" w:rsidRDefault="004736E1" w:rsidP="00DA750F">
      <w:pPr>
        <w:ind w:left="720"/>
        <w:rPr>
          <w:lang w:val="en-AU"/>
        </w:rPr>
      </w:pPr>
      <w:r w:rsidRPr="009F49D3">
        <w:rPr>
          <w:b/>
          <w:lang w:val="en-AU"/>
        </w:rPr>
        <w:t>Overarching framework</w:t>
      </w:r>
      <w:r w:rsidRPr="009F49D3">
        <w:rPr>
          <w:lang w:val="en-AU"/>
        </w:rPr>
        <w:t xml:space="preserve"> – provid</w:t>
      </w:r>
      <w:r w:rsidR="00FD53A4" w:rsidRPr="009F49D3">
        <w:rPr>
          <w:lang w:val="en-AU"/>
        </w:rPr>
        <w:t>es</w:t>
      </w:r>
      <w:r w:rsidRPr="009F49D3">
        <w:rPr>
          <w:lang w:val="en-AU"/>
        </w:rPr>
        <w:t xml:space="preserve"> the strategic context, </w:t>
      </w:r>
      <w:r w:rsidR="00ED7282" w:rsidRPr="009F49D3">
        <w:rPr>
          <w:lang w:val="en-AU"/>
        </w:rPr>
        <w:t xml:space="preserve">rationale, </w:t>
      </w:r>
      <w:r w:rsidR="00064E3E" w:rsidRPr="009F49D3">
        <w:rPr>
          <w:lang w:val="en-AU"/>
        </w:rPr>
        <w:t>program logic and outcomes, delivery mechanisms, budget</w:t>
      </w:r>
      <w:r w:rsidR="00E35D5F" w:rsidRPr="009F49D3">
        <w:rPr>
          <w:lang w:val="en-AU"/>
        </w:rPr>
        <w:t>, governance</w:t>
      </w:r>
      <w:r w:rsidR="00ED7282" w:rsidRPr="009F49D3">
        <w:rPr>
          <w:lang w:val="en-AU"/>
        </w:rPr>
        <w:t>,</w:t>
      </w:r>
      <w:r w:rsidR="00E35D5F" w:rsidRPr="009F49D3">
        <w:rPr>
          <w:lang w:val="en-AU"/>
        </w:rPr>
        <w:t xml:space="preserve"> management</w:t>
      </w:r>
      <w:r w:rsidR="0016734E" w:rsidRPr="009F49D3">
        <w:rPr>
          <w:lang w:val="en-AU"/>
        </w:rPr>
        <w:t>,</w:t>
      </w:r>
      <w:r w:rsidR="00ED7282" w:rsidRPr="009F49D3">
        <w:rPr>
          <w:lang w:val="en-AU"/>
        </w:rPr>
        <w:t xml:space="preserve"> monitoring and evaluation</w:t>
      </w:r>
      <w:r w:rsidR="00E35D5F" w:rsidRPr="009F49D3">
        <w:rPr>
          <w:lang w:val="en-AU"/>
        </w:rPr>
        <w:t xml:space="preserve"> arrangements, </w:t>
      </w:r>
      <w:r w:rsidRPr="009F49D3">
        <w:rPr>
          <w:lang w:val="en-AU"/>
        </w:rPr>
        <w:t>gender and disability analysis</w:t>
      </w:r>
      <w:r w:rsidR="0093020B" w:rsidRPr="009F49D3">
        <w:rPr>
          <w:lang w:val="en-AU"/>
        </w:rPr>
        <w:t>,</w:t>
      </w:r>
      <w:r w:rsidR="00E35D5F" w:rsidRPr="009F49D3">
        <w:rPr>
          <w:lang w:val="en-AU"/>
        </w:rPr>
        <w:t xml:space="preserve"> and risk management</w:t>
      </w:r>
      <w:r w:rsidR="00ED7282" w:rsidRPr="009F49D3">
        <w:rPr>
          <w:lang w:val="en-AU"/>
        </w:rPr>
        <w:t xml:space="preserve"> (this document)</w:t>
      </w:r>
      <w:r w:rsidR="00E35D5F" w:rsidRPr="009F49D3">
        <w:rPr>
          <w:lang w:val="en-AU"/>
        </w:rPr>
        <w:t>.</w:t>
      </w:r>
    </w:p>
    <w:p w14:paraId="1D644861" w14:textId="64AD6D53" w:rsidR="004736E1" w:rsidRPr="009F49D3" w:rsidRDefault="00E35D5F" w:rsidP="00DA750F">
      <w:pPr>
        <w:ind w:left="720"/>
        <w:rPr>
          <w:lang w:val="en-AU"/>
        </w:rPr>
      </w:pPr>
      <w:r w:rsidRPr="009F49D3">
        <w:rPr>
          <w:b/>
          <w:lang w:val="en-AU"/>
        </w:rPr>
        <w:t>C</w:t>
      </w:r>
      <w:r w:rsidR="004736E1" w:rsidRPr="009F49D3">
        <w:rPr>
          <w:b/>
          <w:lang w:val="en-AU"/>
        </w:rPr>
        <w:t>ountry plans</w:t>
      </w:r>
      <w:r w:rsidR="004736E1" w:rsidRPr="009F49D3">
        <w:rPr>
          <w:lang w:val="en-AU"/>
        </w:rPr>
        <w:t xml:space="preserve"> – set out the country context, the </w:t>
      </w:r>
      <w:proofErr w:type="gramStart"/>
      <w:r w:rsidR="00F14701" w:rsidRPr="009F49D3">
        <w:rPr>
          <w:lang w:val="en-AU"/>
        </w:rPr>
        <w:t>particular program</w:t>
      </w:r>
      <w:proofErr w:type="gramEnd"/>
      <w:r w:rsidR="00F14701" w:rsidRPr="009F49D3">
        <w:rPr>
          <w:lang w:val="en-AU"/>
        </w:rPr>
        <w:t xml:space="preserve"> </w:t>
      </w:r>
      <w:r w:rsidR="004736E1" w:rsidRPr="009F49D3">
        <w:rPr>
          <w:lang w:val="en-AU"/>
        </w:rPr>
        <w:t>outcomes that AHP NGOs are working towards</w:t>
      </w:r>
      <w:r w:rsidR="00FA054A" w:rsidRPr="009F49D3">
        <w:rPr>
          <w:lang w:val="en-AU"/>
        </w:rPr>
        <w:t xml:space="preserve"> in that country</w:t>
      </w:r>
      <w:r w:rsidR="00F211F6" w:rsidRPr="009F49D3">
        <w:rPr>
          <w:lang w:val="en-AU"/>
        </w:rPr>
        <w:t>,</w:t>
      </w:r>
      <w:r w:rsidR="004736E1" w:rsidRPr="009F49D3">
        <w:rPr>
          <w:lang w:val="en-AU"/>
        </w:rPr>
        <w:t xml:space="preserve"> how they will work together </w:t>
      </w:r>
      <w:r w:rsidR="00C94F59" w:rsidRPr="009F49D3">
        <w:rPr>
          <w:lang w:val="en-AU"/>
        </w:rPr>
        <w:t>and share</w:t>
      </w:r>
      <w:r w:rsidR="003319AB" w:rsidRPr="009F49D3">
        <w:rPr>
          <w:lang w:val="en-AU"/>
        </w:rPr>
        <w:t xml:space="preserve"> </w:t>
      </w:r>
      <w:r w:rsidR="00C94F59" w:rsidRPr="009F49D3">
        <w:rPr>
          <w:lang w:val="en-AU"/>
        </w:rPr>
        <w:t xml:space="preserve">expertise on gender, disability, child protection and child rights, </w:t>
      </w:r>
      <w:r w:rsidR="004736E1" w:rsidRPr="009F49D3">
        <w:rPr>
          <w:lang w:val="en-AU"/>
        </w:rPr>
        <w:t>and manage risks</w:t>
      </w:r>
      <w:r w:rsidR="007838BD" w:rsidRPr="009F49D3">
        <w:rPr>
          <w:lang w:val="en-AU"/>
        </w:rPr>
        <w:t>.</w:t>
      </w:r>
    </w:p>
    <w:p w14:paraId="2B85D409" w14:textId="6CD4B476" w:rsidR="006522A0" w:rsidRPr="009F49D3" w:rsidRDefault="003B7DE7" w:rsidP="00DA750F">
      <w:pPr>
        <w:ind w:left="720"/>
        <w:rPr>
          <w:lang w:val="en-AU"/>
        </w:rPr>
      </w:pPr>
      <w:r w:rsidRPr="009F49D3">
        <w:rPr>
          <w:b/>
          <w:lang w:val="en-AU"/>
        </w:rPr>
        <w:t xml:space="preserve">Activity </w:t>
      </w:r>
      <w:r w:rsidR="00F3513D" w:rsidRPr="009F49D3">
        <w:rPr>
          <w:b/>
          <w:lang w:val="en-AU"/>
        </w:rPr>
        <w:t>plans (s</w:t>
      </w:r>
      <w:r w:rsidR="004736E1" w:rsidRPr="009F49D3">
        <w:rPr>
          <w:b/>
          <w:lang w:val="en-AU"/>
        </w:rPr>
        <w:t>ub</w:t>
      </w:r>
      <w:r w:rsidR="00E45B8F" w:rsidRPr="009F49D3">
        <w:rPr>
          <w:b/>
          <w:lang w:val="en-AU"/>
        </w:rPr>
        <w:t xml:space="preserve"> </w:t>
      </w:r>
      <w:r w:rsidR="004736E1" w:rsidRPr="009F49D3">
        <w:rPr>
          <w:b/>
          <w:lang w:val="en-AU"/>
        </w:rPr>
        <w:t>designs</w:t>
      </w:r>
      <w:r w:rsidR="00F3513D" w:rsidRPr="009F49D3">
        <w:rPr>
          <w:b/>
          <w:lang w:val="en-AU"/>
        </w:rPr>
        <w:t>)</w:t>
      </w:r>
      <w:r w:rsidR="004736E1" w:rsidRPr="009F49D3">
        <w:rPr>
          <w:lang w:val="en-AU"/>
        </w:rPr>
        <w:t xml:space="preserve"> – </w:t>
      </w:r>
      <w:r w:rsidR="0051557C" w:rsidRPr="009F49D3">
        <w:rPr>
          <w:lang w:val="en-AU"/>
        </w:rPr>
        <w:t xml:space="preserve">outline </w:t>
      </w:r>
      <w:r w:rsidR="00E35D5F" w:rsidRPr="009F49D3">
        <w:rPr>
          <w:lang w:val="en-AU"/>
        </w:rPr>
        <w:t>the activities that</w:t>
      </w:r>
      <w:r w:rsidR="00F211F6" w:rsidRPr="009F49D3">
        <w:rPr>
          <w:lang w:val="en-AU"/>
        </w:rPr>
        <w:t xml:space="preserve"> AHP</w:t>
      </w:r>
      <w:r w:rsidR="00E35D5F" w:rsidRPr="009F49D3">
        <w:rPr>
          <w:lang w:val="en-AU"/>
        </w:rPr>
        <w:t xml:space="preserve"> NGOs </w:t>
      </w:r>
      <w:r w:rsidR="00F211F6" w:rsidRPr="009F49D3">
        <w:rPr>
          <w:lang w:val="en-AU"/>
        </w:rPr>
        <w:t xml:space="preserve">and their partners </w:t>
      </w:r>
      <w:r w:rsidR="00E35D5F" w:rsidRPr="009F49D3">
        <w:rPr>
          <w:lang w:val="en-AU"/>
        </w:rPr>
        <w:t>will delive</w:t>
      </w:r>
      <w:r w:rsidR="007838BD" w:rsidRPr="009F49D3">
        <w:rPr>
          <w:lang w:val="en-AU"/>
        </w:rPr>
        <w:t>r</w:t>
      </w:r>
      <w:r w:rsidR="00E35D5F" w:rsidRPr="009F49D3">
        <w:rPr>
          <w:lang w:val="en-AU"/>
        </w:rPr>
        <w:t>. These detail</w:t>
      </w:r>
      <w:r w:rsidR="004736E1" w:rsidRPr="009F49D3">
        <w:rPr>
          <w:lang w:val="en-AU"/>
        </w:rPr>
        <w:t xml:space="preserve"> </w:t>
      </w:r>
      <w:r w:rsidR="00E35D5F" w:rsidRPr="009F49D3">
        <w:rPr>
          <w:lang w:val="en-AU"/>
        </w:rPr>
        <w:t>NGO outcomes, pro</w:t>
      </w:r>
      <w:r w:rsidR="00B62104" w:rsidRPr="009F49D3">
        <w:rPr>
          <w:lang w:val="en-AU"/>
        </w:rPr>
        <w:t>gram</w:t>
      </w:r>
      <w:r w:rsidR="0093020B" w:rsidRPr="009F49D3">
        <w:rPr>
          <w:lang w:val="en-AU"/>
        </w:rPr>
        <w:t xml:space="preserve"> </w:t>
      </w:r>
      <w:r w:rsidR="00E35D5F" w:rsidRPr="009F49D3">
        <w:rPr>
          <w:lang w:val="en-AU"/>
        </w:rPr>
        <w:t xml:space="preserve">logic, gender and disability analysis, </w:t>
      </w:r>
      <w:r w:rsidR="00286C01" w:rsidRPr="009F49D3">
        <w:rPr>
          <w:lang w:val="en-AU"/>
        </w:rPr>
        <w:t xml:space="preserve">a detailed </w:t>
      </w:r>
      <w:r w:rsidR="00106244" w:rsidRPr="009F49D3">
        <w:rPr>
          <w:lang w:val="en-AU"/>
        </w:rPr>
        <w:t xml:space="preserve">Year 1 </w:t>
      </w:r>
      <w:r w:rsidR="00286C01" w:rsidRPr="009F49D3">
        <w:rPr>
          <w:lang w:val="en-AU"/>
        </w:rPr>
        <w:t xml:space="preserve">activity </w:t>
      </w:r>
      <w:r w:rsidR="00E35D5F" w:rsidRPr="009F49D3">
        <w:rPr>
          <w:lang w:val="en-AU"/>
        </w:rPr>
        <w:t>implementation plan</w:t>
      </w:r>
      <w:r w:rsidR="00286C01" w:rsidRPr="009F49D3">
        <w:rPr>
          <w:lang w:val="en-AU"/>
        </w:rPr>
        <w:t>,</w:t>
      </w:r>
      <w:r w:rsidR="00E35D5F" w:rsidRPr="009F49D3">
        <w:rPr>
          <w:lang w:val="en-AU"/>
        </w:rPr>
        <w:t xml:space="preserve"> and budget and risk management</w:t>
      </w:r>
      <w:r w:rsidR="00264E7C" w:rsidRPr="009F49D3">
        <w:rPr>
          <w:lang w:val="en-AU"/>
        </w:rPr>
        <w:t xml:space="preserve"> </w:t>
      </w:r>
      <w:r w:rsidR="0056559A" w:rsidRPr="009F49D3">
        <w:rPr>
          <w:lang w:val="en-AU"/>
        </w:rPr>
        <w:t>(see Annex</w:t>
      </w:r>
      <w:r w:rsidR="00B30BD0" w:rsidRPr="009F49D3">
        <w:rPr>
          <w:lang w:val="en-AU"/>
        </w:rPr>
        <w:t xml:space="preserve"> </w:t>
      </w:r>
      <w:r w:rsidR="00E524C0" w:rsidRPr="009F49D3">
        <w:rPr>
          <w:lang w:val="en-AU"/>
        </w:rPr>
        <w:t>6</w:t>
      </w:r>
      <w:r w:rsidR="00B30BD0" w:rsidRPr="009F49D3">
        <w:rPr>
          <w:lang w:val="en-AU"/>
        </w:rPr>
        <w:t xml:space="preserve"> Summary of </w:t>
      </w:r>
      <w:r w:rsidR="00F36B80" w:rsidRPr="009F49D3">
        <w:rPr>
          <w:lang w:val="en-AU"/>
        </w:rPr>
        <w:t>A</w:t>
      </w:r>
      <w:r w:rsidR="000E682D" w:rsidRPr="009F49D3">
        <w:rPr>
          <w:lang w:val="en-AU"/>
        </w:rPr>
        <w:t xml:space="preserve">ctivity </w:t>
      </w:r>
      <w:r w:rsidR="00F36B80" w:rsidRPr="009F49D3">
        <w:rPr>
          <w:lang w:val="en-AU"/>
        </w:rPr>
        <w:t>P</w:t>
      </w:r>
      <w:r w:rsidR="000E682D" w:rsidRPr="009F49D3">
        <w:rPr>
          <w:lang w:val="en-AU"/>
        </w:rPr>
        <w:t>lans</w:t>
      </w:r>
      <w:r w:rsidR="0056559A" w:rsidRPr="009F49D3">
        <w:rPr>
          <w:lang w:val="en-AU"/>
        </w:rPr>
        <w:t>)</w:t>
      </w:r>
      <w:r w:rsidR="00E35D5F" w:rsidRPr="009F49D3">
        <w:rPr>
          <w:lang w:val="en-AU"/>
        </w:rPr>
        <w:t xml:space="preserve">. </w:t>
      </w:r>
      <w:r w:rsidR="004736E1" w:rsidRPr="009F49D3">
        <w:rPr>
          <w:lang w:val="en-AU"/>
        </w:rPr>
        <w:t xml:space="preserve"> </w:t>
      </w:r>
    </w:p>
    <w:p w14:paraId="362E541D" w14:textId="789E7C33" w:rsidR="004A1661" w:rsidRDefault="00C27380">
      <w:pPr>
        <w:rPr>
          <w:lang w:val="en-AU"/>
        </w:rPr>
      </w:pPr>
      <w:r w:rsidRPr="009F49D3">
        <w:rPr>
          <w:lang w:val="en-AU"/>
        </w:rPr>
        <w:t xml:space="preserve">Program management is led by DFAT. DFAT is responsible for funding approvals and final decisions, approval for major shifts in strategy, realignment of funding, changes in geographic focus, </w:t>
      </w:r>
      <w:r w:rsidR="00F36B80" w:rsidRPr="009F49D3">
        <w:rPr>
          <w:lang w:val="en-AU"/>
        </w:rPr>
        <w:t xml:space="preserve">and </w:t>
      </w:r>
      <w:r w:rsidRPr="009F49D3">
        <w:rPr>
          <w:lang w:val="en-AU"/>
        </w:rPr>
        <w:t xml:space="preserve">other key </w:t>
      </w:r>
      <w:r w:rsidRPr="009F49D3">
        <w:rPr>
          <w:lang w:val="en-AU"/>
        </w:rPr>
        <w:lastRenderedPageBreak/>
        <w:t>decisions which impact on the overall implementation of Disaster READY.</w:t>
      </w:r>
      <w:r w:rsidR="009863AD" w:rsidRPr="00394C86">
        <w:rPr>
          <w:lang w:val="en-AU"/>
        </w:rPr>
        <w:br/>
      </w:r>
      <w:r w:rsidR="009863AD" w:rsidRPr="00394C86">
        <w:rPr>
          <w:lang w:val="en-AU"/>
        </w:rPr>
        <w:br/>
      </w:r>
      <w:r w:rsidR="00F61E1E" w:rsidRPr="00560CDB">
        <w:rPr>
          <w:lang w:val="en-AU"/>
        </w:rPr>
        <w:t>The program takes a flexible, adaptive approach with AHP NGOs and DFAT engaging in regular dialogue</w:t>
      </w:r>
      <w:r w:rsidRPr="00560CDB">
        <w:rPr>
          <w:lang w:val="en-AU"/>
        </w:rPr>
        <w:t>, strategic direction setting</w:t>
      </w:r>
      <w:r w:rsidR="0093020B" w:rsidRPr="00560CDB">
        <w:rPr>
          <w:lang w:val="en-AU"/>
        </w:rPr>
        <w:t>,</w:t>
      </w:r>
      <w:r w:rsidRPr="00560CDB">
        <w:rPr>
          <w:lang w:val="en-AU"/>
        </w:rPr>
        <w:t xml:space="preserve"> and assessment of overall progress and relationships through the Disaster READY Steering Committee. </w:t>
      </w:r>
      <w:r w:rsidR="00E72318" w:rsidRPr="00560CDB">
        <w:rPr>
          <w:lang w:val="en-AU"/>
        </w:rPr>
        <w:t xml:space="preserve">This </w:t>
      </w:r>
      <w:r w:rsidR="00780938" w:rsidRPr="00560CDB">
        <w:rPr>
          <w:lang w:val="en-AU"/>
        </w:rPr>
        <w:t xml:space="preserve">committee </w:t>
      </w:r>
      <w:r w:rsidR="00E72318" w:rsidRPr="00560CDB">
        <w:rPr>
          <w:lang w:val="en-AU"/>
        </w:rPr>
        <w:t>includes a representative from DFAT</w:t>
      </w:r>
      <w:r w:rsidR="00F57382" w:rsidRPr="00560CDB">
        <w:rPr>
          <w:lang w:val="en-AU"/>
        </w:rPr>
        <w:t xml:space="preserve"> Humanitarian Response and Preparedness section</w:t>
      </w:r>
      <w:r w:rsidR="00E72318" w:rsidRPr="00560CDB">
        <w:rPr>
          <w:lang w:val="en-AU"/>
        </w:rPr>
        <w:t xml:space="preserve">, each of the six lead </w:t>
      </w:r>
      <w:proofErr w:type="gramStart"/>
      <w:r w:rsidR="00E72318" w:rsidRPr="00560CDB">
        <w:rPr>
          <w:lang w:val="en-AU"/>
        </w:rPr>
        <w:t xml:space="preserve">NGOs, </w:t>
      </w:r>
      <w:r w:rsidR="003C31FD" w:rsidRPr="00560CDB">
        <w:rPr>
          <w:lang w:val="en-AU"/>
        </w:rPr>
        <w:t xml:space="preserve"> </w:t>
      </w:r>
      <w:r w:rsidR="00E72318" w:rsidRPr="00560CDB">
        <w:rPr>
          <w:lang w:val="en-AU"/>
        </w:rPr>
        <w:t>a</w:t>
      </w:r>
      <w:proofErr w:type="gramEnd"/>
      <w:r w:rsidR="00E72318" w:rsidRPr="00560CDB">
        <w:rPr>
          <w:lang w:val="en-AU"/>
        </w:rPr>
        <w:t xml:space="preserve"> disability organi</w:t>
      </w:r>
      <w:r w:rsidR="005C098F" w:rsidRPr="00560CDB">
        <w:rPr>
          <w:lang w:val="en-AU"/>
        </w:rPr>
        <w:t>s</w:t>
      </w:r>
      <w:r w:rsidR="00E72318" w:rsidRPr="00560CDB">
        <w:rPr>
          <w:lang w:val="en-AU"/>
        </w:rPr>
        <w:t>ation, and the AHP</w:t>
      </w:r>
      <w:r w:rsidR="005C098F" w:rsidRPr="00560CDB">
        <w:rPr>
          <w:lang w:val="en-AU"/>
        </w:rPr>
        <w:t xml:space="preserve"> </w:t>
      </w:r>
      <w:r w:rsidR="00E72318" w:rsidRPr="00560CDB">
        <w:rPr>
          <w:lang w:val="en-AU"/>
        </w:rPr>
        <w:t>SU.</w:t>
      </w:r>
      <w:r w:rsidR="009863AD" w:rsidRPr="00394C86">
        <w:rPr>
          <w:lang w:val="en-AU"/>
        </w:rPr>
        <w:br/>
      </w:r>
      <w:r w:rsidR="009863AD" w:rsidRPr="00394C86">
        <w:rPr>
          <w:lang w:val="en-AU"/>
        </w:rPr>
        <w:br/>
      </w:r>
      <w:r w:rsidRPr="00560CDB">
        <w:rPr>
          <w:lang w:val="en-AU"/>
        </w:rPr>
        <w:t xml:space="preserve">At the country level, Disaster READY </w:t>
      </w:r>
      <w:r w:rsidR="009D0B2B" w:rsidRPr="00560CDB">
        <w:rPr>
          <w:lang w:val="en-AU"/>
        </w:rPr>
        <w:t>Country Committee</w:t>
      </w:r>
      <w:r w:rsidRPr="00560CDB">
        <w:rPr>
          <w:lang w:val="en-AU"/>
        </w:rPr>
        <w:t>s are responsible for coordination between NGOs</w:t>
      </w:r>
      <w:r w:rsidR="00F36B80" w:rsidRPr="00560CDB">
        <w:rPr>
          <w:lang w:val="en-AU"/>
        </w:rPr>
        <w:t xml:space="preserve"> as well as coordination </w:t>
      </w:r>
      <w:r w:rsidRPr="00560CDB">
        <w:rPr>
          <w:lang w:val="en-AU"/>
        </w:rPr>
        <w:t>between NGOs and DFAT Post, government and other stakeholders</w:t>
      </w:r>
      <w:r w:rsidR="00BB2947" w:rsidRPr="00560CDB">
        <w:rPr>
          <w:lang w:val="en-AU"/>
        </w:rPr>
        <w:t xml:space="preserve">. </w:t>
      </w:r>
      <w:r w:rsidR="009D0B2B" w:rsidRPr="00560CDB">
        <w:rPr>
          <w:lang w:val="en-AU"/>
        </w:rPr>
        <w:t>Country Committee</w:t>
      </w:r>
      <w:r w:rsidR="00BB2947" w:rsidRPr="00560CDB">
        <w:rPr>
          <w:lang w:val="en-AU"/>
        </w:rPr>
        <w:t xml:space="preserve">s will </w:t>
      </w:r>
      <w:r w:rsidR="00D2265C" w:rsidRPr="00560CDB">
        <w:rPr>
          <w:lang w:val="en-AU"/>
        </w:rPr>
        <w:t>review progress against the program outcomes</w:t>
      </w:r>
      <w:r w:rsidR="00BB2947" w:rsidRPr="00560CDB">
        <w:rPr>
          <w:lang w:val="en-AU"/>
        </w:rPr>
        <w:t xml:space="preserve"> and adapt annual implementation plans to respond to opportunities and challenges</w:t>
      </w:r>
      <w:r w:rsidR="00D2265C" w:rsidRPr="00560CDB">
        <w:rPr>
          <w:lang w:val="en-AU"/>
        </w:rPr>
        <w:t>.</w:t>
      </w:r>
      <w:r w:rsidRPr="00560CDB">
        <w:rPr>
          <w:lang w:val="en-AU"/>
        </w:rPr>
        <w:t xml:space="preserve"> The AHP</w:t>
      </w:r>
      <w:r w:rsidR="00780938" w:rsidRPr="00560CDB">
        <w:rPr>
          <w:lang w:val="en-AU"/>
        </w:rPr>
        <w:t xml:space="preserve"> </w:t>
      </w:r>
      <w:r w:rsidRPr="00560CDB">
        <w:rPr>
          <w:lang w:val="en-AU"/>
        </w:rPr>
        <w:t xml:space="preserve">SU will support both the Disaster READY Steering Committee and the Disaster READY </w:t>
      </w:r>
      <w:r w:rsidR="009D0B2B" w:rsidRPr="00560CDB">
        <w:rPr>
          <w:lang w:val="en-AU"/>
        </w:rPr>
        <w:t>Country Committee</w:t>
      </w:r>
      <w:r w:rsidRPr="00560CDB">
        <w:rPr>
          <w:lang w:val="en-AU"/>
        </w:rPr>
        <w:t>s</w:t>
      </w:r>
      <w:r w:rsidR="009863AD" w:rsidRPr="00394C86">
        <w:rPr>
          <w:lang w:val="en-AU"/>
        </w:rPr>
        <w:t>.</w:t>
      </w:r>
      <w:r w:rsidR="009863AD" w:rsidRPr="00394C86">
        <w:rPr>
          <w:lang w:val="en-AU"/>
        </w:rPr>
        <w:br/>
      </w:r>
      <w:r w:rsidR="009863AD" w:rsidRPr="00394C86">
        <w:rPr>
          <w:lang w:val="en-AU"/>
        </w:rPr>
        <w:br/>
      </w:r>
      <w:r w:rsidR="00B32EFA" w:rsidRPr="00560CDB">
        <w:rPr>
          <w:lang w:val="en-AU"/>
        </w:rPr>
        <w:t xml:space="preserve">The program has been structured around an agreed set of outcomes and indicators. </w:t>
      </w:r>
      <w:r w:rsidR="005B3AA5" w:rsidRPr="00560CDB">
        <w:rPr>
          <w:lang w:val="en-AU"/>
        </w:rPr>
        <w:t>These provide a consistent focus across the five countries</w:t>
      </w:r>
      <w:r w:rsidR="00F36B80" w:rsidRPr="00560CDB">
        <w:rPr>
          <w:lang w:val="en-AU"/>
        </w:rPr>
        <w:t xml:space="preserve"> and</w:t>
      </w:r>
      <w:r w:rsidR="005B3AA5" w:rsidRPr="00560CDB">
        <w:rPr>
          <w:lang w:val="en-AU"/>
        </w:rPr>
        <w:t xml:space="preserve"> between the three levels of </w:t>
      </w:r>
      <w:r w:rsidR="004357E6" w:rsidRPr="00560CDB">
        <w:rPr>
          <w:lang w:val="en-AU"/>
        </w:rPr>
        <w:t xml:space="preserve">the </w:t>
      </w:r>
      <w:r w:rsidR="005B3AA5" w:rsidRPr="00560CDB">
        <w:rPr>
          <w:lang w:val="en-AU"/>
        </w:rPr>
        <w:t xml:space="preserve">overarching program, country </w:t>
      </w:r>
      <w:r w:rsidR="004357E6" w:rsidRPr="00560CDB">
        <w:rPr>
          <w:lang w:val="en-AU"/>
        </w:rPr>
        <w:t xml:space="preserve">coordination </w:t>
      </w:r>
      <w:r w:rsidR="005B3AA5" w:rsidRPr="00560CDB">
        <w:rPr>
          <w:lang w:val="en-AU"/>
        </w:rPr>
        <w:t>and NGO activities.</w:t>
      </w:r>
      <w:r w:rsidR="002F067F" w:rsidRPr="00560CDB">
        <w:rPr>
          <w:lang w:val="en-AU"/>
        </w:rPr>
        <w:t xml:space="preserve"> Analysis against these </w:t>
      </w:r>
      <w:r w:rsidR="00657A08" w:rsidRPr="00560CDB">
        <w:rPr>
          <w:lang w:val="en-AU"/>
        </w:rPr>
        <w:t xml:space="preserve">outcomes </w:t>
      </w:r>
      <w:r w:rsidR="008F5312" w:rsidRPr="00560CDB">
        <w:rPr>
          <w:lang w:val="en-AU"/>
        </w:rPr>
        <w:t xml:space="preserve">and indicators </w:t>
      </w:r>
      <w:r w:rsidR="00657A08" w:rsidRPr="00560CDB">
        <w:rPr>
          <w:lang w:val="en-AU"/>
        </w:rPr>
        <w:t>will enable program partners, with assistance from the AHP SU</w:t>
      </w:r>
      <w:r w:rsidR="004357E6" w:rsidRPr="00560CDB">
        <w:rPr>
          <w:lang w:val="en-AU"/>
        </w:rPr>
        <w:t>,</w:t>
      </w:r>
      <w:r w:rsidR="00657A08" w:rsidRPr="00560CDB">
        <w:rPr>
          <w:lang w:val="en-AU"/>
        </w:rPr>
        <w:t xml:space="preserve"> to tell a collective story about the</w:t>
      </w:r>
      <w:r w:rsidR="004357E6" w:rsidRPr="00560CDB">
        <w:rPr>
          <w:lang w:val="en-AU"/>
        </w:rPr>
        <w:t>ir</w:t>
      </w:r>
      <w:r w:rsidR="00657A08" w:rsidRPr="00560CDB">
        <w:rPr>
          <w:lang w:val="en-AU"/>
        </w:rPr>
        <w:t xml:space="preserve"> achievements and lessons.</w:t>
      </w:r>
      <w:r w:rsidR="00A27799" w:rsidRPr="00560CDB">
        <w:rPr>
          <w:lang w:val="en-AU"/>
        </w:rPr>
        <w:t xml:space="preserve"> The bulk of the data that will be used to assess the program’s performance will be provided through the NGOs</w:t>
      </w:r>
      <w:r w:rsidR="00F57382" w:rsidRPr="00560CDB">
        <w:rPr>
          <w:lang w:val="en-AU"/>
        </w:rPr>
        <w:t>’</w:t>
      </w:r>
      <w:r w:rsidR="00A27799" w:rsidRPr="00560CDB">
        <w:rPr>
          <w:lang w:val="en-AU"/>
        </w:rPr>
        <w:t xml:space="preserve"> M&amp;E systems at the country</w:t>
      </w:r>
      <w:r w:rsidR="0093020B" w:rsidRPr="00560CDB">
        <w:rPr>
          <w:lang w:val="en-AU"/>
        </w:rPr>
        <w:t xml:space="preserve"> </w:t>
      </w:r>
      <w:r w:rsidR="00A27799" w:rsidRPr="00560CDB">
        <w:rPr>
          <w:lang w:val="en-AU"/>
        </w:rPr>
        <w:t xml:space="preserve">level. In addition, an annual small-scale evaluation (in line with the </w:t>
      </w:r>
      <w:r w:rsidR="004357E6" w:rsidRPr="00560CDB">
        <w:rPr>
          <w:lang w:val="en-AU"/>
        </w:rPr>
        <w:t>S</w:t>
      </w:r>
      <w:r w:rsidR="00A27799" w:rsidRPr="00560CDB">
        <w:rPr>
          <w:lang w:val="en-AU"/>
        </w:rPr>
        <w:t xml:space="preserve">teering </w:t>
      </w:r>
      <w:r w:rsidR="004357E6" w:rsidRPr="00560CDB">
        <w:rPr>
          <w:lang w:val="en-AU"/>
        </w:rPr>
        <w:t>C</w:t>
      </w:r>
      <w:r w:rsidR="00A27799" w:rsidRPr="00560CDB">
        <w:rPr>
          <w:lang w:val="en-AU"/>
        </w:rPr>
        <w:t>ommittee</w:t>
      </w:r>
      <w:r w:rsidR="004357E6" w:rsidRPr="00560CDB">
        <w:rPr>
          <w:lang w:val="en-AU"/>
        </w:rPr>
        <w:t>’</w:t>
      </w:r>
      <w:r w:rsidR="00A27799" w:rsidRPr="00560CDB">
        <w:rPr>
          <w:lang w:val="en-AU"/>
        </w:rPr>
        <w:t xml:space="preserve">s priorities) will focus on a thematic issue or be used to evaluate the response to a disaster in one of the </w:t>
      </w:r>
      <w:r w:rsidR="005B4B98" w:rsidRPr="00560CDB">
        <w:rPr>
          <w:lang w:val="en-AU"/>
        </w:rPr>
        <w:t xml:space="preserve">focus </w:t>
      </w:r>
      <w:r w:rsidR="00A27799" w:rsidRPr="00560CDB">
        <w:rPr>
          <w:lang w:val="en-AU"/>
        </w:rPr>
        <w:t xml:space="preserve">countries. This will allow DFAT and the partners to assess the impact of </w:t>
      </w:r>
      <w:r w:rsidR="00E06D32" w:rsidRPr="00560CDB">
        <w:rPr>
          <w:lang w:val="en-AU"/>
        </w:rPr>
        <w:t xml:space="preserve">their </w:t>
      </w:r>
      <w:r w:rsidR="00A27799" w:rsidRPr="00560CDB">
        <w:rPr>
          <w:lang w:val="en-AU"/>
        </w:rPr>
        <w:t xml:space="preserve">preparedness </w:t>
      </w:r>
      <w:r w:rsidR="00E06D32" w:rsidRPr="00560CDB">
        <w:rPr>
          <w:lang w:val="en-AU"/>
        </w:rPr>
        <w:t>and locali</w:t>
      </w:r>
      <w:r w:rsidR="00780938" w:rsidRPr="00560CDB">
        <w:rPr>
          <w:lang w:val="en-AU"/>
        </w:rPr>
        <w:t>s</w:t>
      </w:r>
      <w:r w:rsidR="00E06D32" w:rsidRPr="00560CDB">
        <w:rPr>
          <w:lang w:val="en-AU"/>
        </w:rPr>
        <w:t xml:space="preserve">ation </w:t>
      </w:r>
      <w:r w:rsidR="00A27799" w:rsidRPr="00560CDB">
        <w:rPr>
          <w:lang w:val="en-AU"/>
        </w:rPr>
        <w:t>work</w:t>
      </w:r>
      <w:r w:rsidR="00E06D32" w:rsidRPr="00560CDB">
        <w:rPr>
          <w:lang w:val="en-AU"/>
        </w:rPr>
        <w:t>.</w:t>
      </w:r>
      <w:r w:rsidR="00B842DD" w:rsidRPr="00560CDB">
        <w:rPr>
          <w:lang w:val="en-AU"/>
        </w:rPr>
        <w:t xml:space="preserve"> An independent evaluation will be conducted in </w:t>
      </w:r>
      <w:r w:rsidR="00106244" w:rsidRPr="00560CDB">
        <w:rPr>
          <w:lang w:val="en-AU"/>
        </w:rPr>
        <w:t>Year 4</w:t>
      </w:r>
      <w:r w:rsidR="00B842DD" w:rsidRPr="00560CDB">
        <w:rPr>
          <w:lang w:val="en-AU"/>
        </w:rPr>
        <w:t xml:space="preserve"> to inform the design of phase two of the program.</w:t>
      </w:r>
      <w:r w:rsidR="009863AD" w:rsidRPr="00394C86">
        <w:rPr>
          <w:lang w:val="en-AU"/>
        </w:rPr>
        <w:br/>
      </w:r>
      <w:r w:rsidR="009863AD" w:rsidRPr="00394C86">
        <w:rPr>
          <w:lang w:val="en-AU"/>
        </w:rPr>
        <w:br/>
      </w:r>
      <w:r w:rsidR="00B77A4E" w:rsidRPr="00560CDB">
        <w:rPr>
          <w:lang w:val="en-AU"/>
        </w:rPr>
        <w:t>Disaster READY will be delivered through two mechanisms:</w:t>
      </w:r>
      <w:r w:rsidR="009863AD" w:rsidRPr="00394C86">
        <w:rPr>
          <w:b/>
          <w:i/>
          <w:lang w:val="en-AU"/>
        </w:rPr>
        <w:br/>
      </w:r>
      <w:r w:rsidR="009863AD" w:rsidRPr="00394C86">
        <w:rPr>
          <w:b/>
          <w:i/>
          <w:lang w:val="en-AU"/>
        </w:rPr>
        <w:br/>
      </w:r>
      <w:r w:rsidR="00B77A4E" w:rsidRPr="00560CDB">
        <w:rPr>
          <w:b/>
          <w:i/>
          <w:lang w:val="en-AU"/>
        </w:rPr>
        <w:t>Mechanism 1:</w:t>
      </w:r>
      <w:r w:rsidR="00B77A4E" w:rsidRPr="00560CDB">
        <w:rPr>
          <w:b/>
          <w:lang w:val="en-AU"/>
        </w:rPr>
        <w:t xml:space="preserve"> </w:t>
      </w:r>
      <w:r w:rsidR="00B77A4E" w:rsidRPr="00560CDB">
        <w:rPr>
          <w:lang w:val="en-AU"/>
        </w:rPr>
        <w:t xml:space="preserve">Multi-year funding in the five focus countries from January 2018 </w:t>
      </w:r>
      <w:r w:rsidR="0093020B" w:rsidRPr="00560CDB">
        <w:rPr>
          <w:lang w:val="en-AU"/>
        </w:rPr>
        <w:t>to</w:t>
      </w:r>
      <w:r w:rsidR="00B77A4E" w:rsidRPr="00560CDB">
        <w:rPr>
          <w:lang w:val="en-AU"/>
        </w:rPr>
        <w:t xml:space="preserve"> June 2022 ($32.4m)</w:t>
      </w:r>
      <w:r w:rsidR="009A143B" w:rsidRPr="00560CDB">
        <w:rPr>
          <w:lang w:val="en-AU"/>
        </w:rPr>
        <w:t xml:space="preserve">. </w:t>
      </w:r>
      <w:r w:rsidR="00B77A4E" w:rsidRPr="00560CDB">
        <w:rPr>
          <w:lang w:val="en-AU"/>
        </w:rPr>
        <w:t xml:space="preserve">This includes direct funding to </w:t>
      </w:r>
      <w:r w:rsidR="00F36B80" w:rsidRPr="00560CDB">
        <w:rPr>
          <w:lang w:val="en-AU"/>
        </w:rPr>
        <w:t xml:space="preserve">the </w:t>
      </w:r>
      <w:r w:rsidR="00B77A4E" w:rsidRPr="00560CDB">
        <w:rPr>
          <w:lang w:val="en-AU"/>
        </w:rPr>
        <w:t xml:space="preserve">six AHP NGO consortia of $5m each plus </w:t>
      </w:r>
      <w:r w:rsidR="00BF1A40" w:rsidRPr="00560CDB">
        <w:rPr>
          <w:lang w:val="en-AU"/>
        </w:rPr>
        <w:t>Shared Services</w:t>
      </w:r>
      <w:r w:rsidR="00B77A4E" w:rsidRPr="00560CDB">
        <w:rPr>
          <w:lang w:val="en-AU"/>
        </w:rPr>
        <w:t xml:space="preserve"> funding of $2.4m. Stable, multi-year funding to NGOs enables long</w:t>
      </w:r>
      <w:r w:rsidR="009A143B" w:rsidRPr="00560CDB">
        <w:rPr>
          <w:lang w:val="en-AU"/>
        </w:rPr>
        <w:t>-</w:t>
      </w:r>
      <w:r w:rsidR="00B77A4E" w:rsidRPr="00560CDB">
        <w:rPr>
          <w:lang w:val="en-AU"/>
        </w:rPr>
        <w:t>term country</w:t>
      </w:r>
      <w:r w:rsidR="009A143B" w:rsidRPr="00560CDB">
        <w:rPr>
          <w:lang w:val="en-AU"/>
        </w:rPr>
        <w:t>-</w:t>
      </w:r>
      <w:r w:rsidR="00B77A4E" w:rsidRPr="00560CDB">
        <w:rPr>
          <w:lang w:val="en-AU"/>
        </w:rPr>
        <w:t xml:space="preserve">based planning and provides a base for innovation. </w:t>
      </w:r>
      <w:r w:rsidR="00BF1A40" w:rsidRPr="00560CDB">
        <w:rPr>
          <w:lang w:val="en-AU"/>
        </w:rPr>
        <w:t>Shared Services</w:t>
      </w:r>
      <w:r w:rsidR="00B77A4E" w:rsidRPr="00560CDB">
        <w:rPr>
          <w:lang w:val="en-AU"/>
        </w:rPr>
        <w:t xml:space="preserve"> funds incentivise NGOs to improve practice on social inclusion issues, </w:t>
      </w:r>
      <w:r w:rsidR="009A143B" w:rsidRPr="00560CDB">
        <w:rPr>
          <w:lang w:val="en-AU"/>
        </w:rPr>
        <w:t xml:space="preserve">to </w:t>
      </w:r>
      <w:r w:rsidR="00B77A4E" w:rsidRPr="00560CDB">
        <w:rPr>
          <w:lang w:val="en-AU"/>
        </w:rPr>
        <w:t>coordinate</w:t>
      </w:r>
      <w:r w:rsidR="009A143B" w:rsidRPr="00560CDB">
        <w:rPr>
          <w:lang w:val="en-AU"/>
        </w:rPr>
        <w:t>,</w:t>
      </w:r>
      <w:r w:rsidR="00B77A4E" w:rsidRPr="00560CDB">
        <w:rPr>
          <w:lang w:val="en-AU"/>
        </w:rPr>
        <w:t xml:space="preserve"> and </w:t>
      </w:r>
      <w:r w:rsidR="009A143B" w:rsidRPr="00560CDB">
        <w:rPr>
          <w:lang w:val="en-AU"/>
        </w:rPr>
        <w:t xml:space="preserve">to </w:t>
      </w:r>
      <w:r w:rsidR="00B77A4E" w:rsidRPr="00560CDB">
        <w:rPr>
          <w:lang w:val="en-AU"/>
        </w:rPr>
        <w:t>collectively respond to changes in the country context.</w:t>
      </w:r>
      <w:r w:rsidR="00A540AE" w:rsidRPr="00394C86">
        <w:rPr>
          <w:lang w:val="en-AU"/>
        </w:rPr>
        <w:br/>
      </w:r>
      <w:r w:rsidR="009863AD" w:rsidRPr="00394C86">
        <w:rPr>
          <w:b/>
          <w:i/>
          <w:lang w:val="en-AU"/>
        </w:rPr>
        <w:br/>
      </w:r>
      <w:r w:rsidR="00B77A4E" w:rsidRPr="00560CDB">
        <w:rPr>
          <w:b/>
          <w:i/>
          <w:lang w:val="en-AU"/>
        </w:rPr>
        <w:t>Mechanism 2:</w:t>
      </w:r>
      <w:r w:rsidR="00B77A4E" w:rsidRPr="00560CDB">
        <w:rPr>
          <w:lang w:val="en-AU"/>
        </w:rPr>
        <w:t xml:space="preserve"> Performance and Partnerships Fund (PPF) of $8.5m</w:t>
      </w:r>
      <w:r w:rsidR="00613F53" w:rsidRPr="00560CDB">
        <w:rPr>
          <w:lang w:val="en-AU"/>
        </w:rPr>
        <w:t>.</w:t>
      </w:r>
      <w:r w:rsidR="009A143B" w:rsidRPr="00560CDB">
        <w:rPr>
          <w:lang w:val="en-AU"/>
        </w:rPr>
        <w:t xml:space="preserve"> This fund will be accessed via</w:t>
      </w:r>
      <w:r w:rsidR="00B77A4E" w:rsidRPr="00560CDB">
        <w:rPr>
          <w:lang w:val="en-AU"/>
        </w:rPr>
        <w:t xml:space="preserve"> competitive grants open to the AHP consortia to scale up successful collaborations and innovations</w:t>
      </w:r>
      <w:r w:rsidR="009A143B" w:rsidRPr="00560CDB">
        <w:rPr>
          <w:lang w:val="en-AU"/>
        </w:rPr>
        <w:t>,</w:t>
      </w:r>
      <w:r w:rsidR="00B77A4E" w:rsidRPr="00560CDB">
        <w:rPr>
          <w:lang w:val="en-AU"/>
        </w:rPr>
        <w:t xml:space="preserve"> including private sector engagement, to support community disaster preparedness in the Pacific and Timor-Leste. Two rounds of competitive grants will be opened in 2019 and 2020. There is the potential to expand the program to other Pacific countries through the</w:t>
      </w:r>
      <w:r w:rsidR="00235410" w:rsidRPr="00560CDB">
        <w:rPr>
          <w:lang w:val="en-AU"/>
        </w:rPr>
        <w:t xml:space="preserve"> second round of the</w:t>
      </w:r>
      <w:r w:rsidR="00B77A4E" w:rsidRPr="00560CDB">
        <w:rPr>
          <w:lang w:val="en-AU"/>
        </w:rPr>
        <w:t xml:space="preserve"> PPF.</w:t>
      </w:r>
    </w:p>
    <w:p w14:paraId="217C438A" w14:textId="77777777" w:rsidR="00FE4C78" w:rsidRPr="00560CDB" w:rsidRDefault="00FE4C78">
      <w:pPr>
        <w:rPr>
          <w:lang w:val="en-AU"/>
        </w:rPr>
      </w:pPr>
    </w:p>
    <w:p w14:paraId="7C50C230" w14:textId="37B30524" w:rsidR="00EC3A68" w:rsidRPr="00394C86" w:rsidRDefault="00867389" w:rsidP="00EC3A68">
      <w:pPr>
        <w:pStyle w:val="Heading1"/>
        <w:rPr>
          <w:rFonts w:ascii="Calibri" w:hAnsi="Calibri" w:cs="Calibri"/>
          <w:lang w:val="en-AU"/>
        </w:rPr>
      </w:pPr>
      <w:bookmarkStart w:id="4" w:name="_Toc501451657"/>
      <w:r w:rsidRPr="00FE4C78">
        <w:rPr>
          <w:noProof/>
        </w:rPr>
        <w:lastRenderedPageBreak/>
        <w:drawing>
          <wp:anchor distT="0" distB="0" distL="114300" distR="114300" simplePos="0" relativeHeight="251667456" behindDoc="1" locked="0" layoutInCell="1" allowOverlap="1" wp14:anchorId="0782501B" wp14:editId="762AF127">
            <wp:simplePos x="0" y="0"/>
            <wp:positionH relativeFrom="page">
              <wp:posOffset>-331</wp:posOffset>
            </wp:positionH>
            <wp:positionV relativeFrom="paragraph">
              <wp:posOffset>0</wp:posOffset>
            </wp:positionV>
            <wp:extent cx="7792876" cy="6794500"/>
            <wp:effectExtent l="0" t="0" r="0" b="0"/>
            <wp:wrapTight wrapText="bothSides">
              <wp:wrapPolygon edited="0">
                <wp:start x="4277" y="1938"/>
                <wp:lineTo x="1637" y="2180"/>
                <wp:lineTo x="1426" y="2241"/>
                <wp:lineTo x="1426" y="5087"/>
                <wp:lineTo x="9874" y="5935"/>
                <wp:lineTo x="10772" y="5935"/>
                <wp:lineTo x="10772" y="6904"/>
                <wp:lineTo x="1373" y="7086"/>
                <wp:lineTo x="1373" y="10356"/>
                <wp:lineTo x="5756" y="10780"/>
                <wp:lineTo x="10772" y="10780"/>
                <wp:lineTo x="10772" y="11749"/>
                <wp:lineTo x="1478" y="11991"/>
                <wp:lineTo x="1478" y="15019"/>
                <wp:lineTo x="7551" y="15625"/>
                <wp:lineTo x="10772" y="15625"/>
                <wp:lineTo x="1478" y="16473"/>
                <wp:lineTo x="1478" y="19379"/>
                <wp:lineTo x="10772" y="19501"/>
                <wp:lineTo x="4435" y="19803"/>
                <wp:lineTo x="4119" y="19864"/>
                <wp:lineTo x="4119" y="20651"/>
                <wp:lineTo x="4277" y="20712"/>
                <wp:lineTo x="5016" y="20833"/>
                <wp:lineTo x="11458" y="20833"/>
                <wp:lineTo x="17795" y="20712"/>
                <wp:lineTo x="17583" y="20470"/>
                <wp:lineTo x="20857" y="20227"/>
                <wp:lineTo x="20752" y="19803"/>
                <wp:lineTo x="10772" y="19501"/>
                <wp:lineTo x="13887" y="19501"/>
                <wp:lineTo x="19643" y="18895"/>
                <wp:lineTo x="19590" y="18532"/>
                <wp:lineTo x="20752" y="17805"/>
                <wp:lineTo x="20540" y="17563"/>
                <wp:lineTo x="20276" y="17563"/>
                <wp:lineTo x="20065" y="16836"/>
                <wp:lineTo x="6072" y="16594"/>
                <wp:lineTo x="10772" y="15625"/>
                <wp:lineTo x="12409" y="15625"/>
                <wp:lineTo x="21121" y="14837"/>
                <wp:lineTo x="21227" y="14050"/>
                <wp:lineTo x="18798" y="13929"/>
                <wp:lineTo x="3274" y="13687"/>
                <wp:lineTo x="20857" y="13505"/>
                <wp:lineTo x="20646" y="12657"/>
                <wp:lineTo x="10719" y="11749"/>
                <wp:lineTo x="10772" y="10780"/>
                <wp:lineTo x="17108" y="9871"/>
                <wp:lineTo x="17108" y="9811"/>
                <wp:lineTo x="20646" y="9447"/>
                <wp:lineTo x="20804" y="9266"/>
                <wp:lineTo x="20276" y="8842"/>
                <wp:lineTo x="21068" y="8418"/>
                <wp:lineTo x="21121" y="8176"/>
                <wp:lineTo x="20593" y="7873"/>
                <wp:lineTo x="20646" y="7631"/>
                <wp:lineTo x="15207" y="7086"/>
                <wp:lineTo x="10772" y="6904"/>
                <wp:lineTo x="10772" y="5935"/>
                <wp:lineTo x="11617" y="5935"/>
                <wp:lineTo x="13570" y="5269"/>
                <wp:lineTo x="13518" y="4966"/>
                <wp:lineTo x="20963" y="4845"/>
                <wp:lineTo x="21068" y="4058"/>
                <wp:lineTo x="20540" y="3876"/>
                <wp:lineTo x="20435" y="3028"/>
                <wp:lineTo x="21068" y="2967"/>
                <wp:lineTo x="20963" y="2422"/>
                <wp:lineTo x="4963" y="1938"/>
                <wp:lineTo x="4277" y="1938"/>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314" t="-2953" r="-1348" b="37194"/>
                    <a:stretch/>
                  </pic:blipFill>
                  <pic:spPr bwMode="auto">
                    <a:xfrm>
                      <a:off x="0" y="0"/>
                      <a:ext cx="7792876" cy="679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3A68" w:rsidRPr="00394C86">
        <w:rPr>
          <w:rFonts w:ascii="Calibri" w:hAnsi="Calibri" w:cs="Calibri"/>
          <w:lang w:val="en-AU"/>
        </w:rPr>
        <w:t>Innovations in disaster ready</w:t>
      </w:r>
      <w:bookmarkEnd w:id="4"/>
      <w:r w:rsidR="00EC3A68" w:rsidRPr="00394C86">
        <w:rPr>
          <w:rFonts w:ascii="Calibri" w:hAnsi="Calibri" w:cs="Calibri"/>
          <w:lang w:val="en-AU"/>
        </w:rPr>
        <w:t xml:space="preserve"> </w:t>
      </w:r>
    </w:p>
    <w:p w14:paraId="2C7F51FF" w14:textId="2FDBE006" w:rsidR="000C0164" w:rsidRDefault="000C0164" w:rsidP="00AE1B0B">
      <w:pPr>
        <w:rPr>
          <w:noProof/>
          <w:lang w:val="en-GB" w:eastAsia="en-GB"/>
        </w:rPr>
      </w:pPr>
    </w:p>
    <w:p w14:paraId="05A712D4" w14:textId="032F58FC" w:rsidR="00FE4C78" w:rsidRDefault="00FE4C78" w:rsidP="00AE1B0B">
      <w:pPr>
        <w:rPr>
          <w:noProof/>
          <w:lang w:val="en-GB" w:eastAsia="en-GB"/>
        </w:rPr>
      </w:pPr>
    </w:p>
    <w:p w14:paraId="5CD93A9A" w14:textId="7EA4ECF3" w:rsidR="00FE4C78" w:rsidRDefault="00FE4C78" w:rsidP="00AE1B0B">
      <w:pPr>
        <w:rPr>
          <w:noProof/>
          <w:lang w:val="en-GB" w:eastAsia="en-GB"/>
        </w:rPr>
      </w:pPr>
    </w:p>
    <w:p w14:paraId="4485C0F7" w14:textId="09B33CB8" w:rsidR="00FE4C78" w:rsidRDefault="00FE4C78" w:rsidP="00AE1B0B">
      <w:pPr>
        <w:rPr>
          <w:noProof/>
          <w:lang w:val="en-GB" w:eastAsia="en-GB"/>
        </w:rPr>
      </w:pPr>
    </w:p>
    <w:p w14:paraId="5F529BA5" w14:textId="725B4014" w:rsidR="00FE4C78" w:rsidRDefault="00FE4C78" w:rsidP="00AE1B0B">
      <w:pPr>
        <w:rPr>
          <w:noProof/>
          <w:lang w:val="en-GB" w:eastAsia="en-GB"/>
        </w:rPr>
      </w:pPr>
    </w:p>
    <w:p w14:paraId="509083FC" w14:textId="01A82E0B" w:rsidR="00FE4C78" w:rsidRDefault="00FE4C78" w:rsidP="00AE1B0B">
      <w:pPr>
        <w:rPr>
          <w:noProof/>
          <w:lang w:val="en-GB" w:eastAsia="en-GB"/>
        </w:rPr>
      </w:pPr>
    </w:p>
    <w:p w14:paraId="06EF35A4" w14:textId="5222F76E" w:rsidR="004E3968" w:rsidRDefault="004E3968">
      <w:pPr>
        <w:rPr>
          <w:lang w:val="en-AU"/>
        </w:rPr>
      </w:pPr>
      <w:r>
        <w:rPr>
          <w:lang w:val="en-AU"/>
        </w:rPr>
        <w:br w:type="page"/>
      </w:r>
    </w:p>
    <w:p w14:paraId="130D0815" w14:textId="09924FB8" w:rsidR="004E3968" w:rsidRDefault="004E3968" w:rsidP="00AE1B0B">
      <w:pPr>
        <w:rPr>
          <w:lang w:val="en-AU"/>
        </w:rPr>
      </w:pPr>
      <w:r w:rsidRPr="00FE4C78">
        <w:rPr>
          <w:noProof/>
        </w:rPr>
        <w:lastRenderedPageBreak/>
        <w:drawing>
          <wp:anchor distT="0" distB="0" distL="114300" distR="114300" simplePos="0" relativeHeight="251673600" behindDoc="1" locked="0" layoutInCell="1" allowOverlap="1" wp14:anchorId="7500DC1C" wp14:editId="7578D226">
            <wp:simplePos x="0" y="0"/>
            <wp:positionH relativeFrom="margin">
              <wp:posOffset>-472602</wp:posOffset>
            </wp:positionH>
            <wp:positionV relativeFrom="paragraph">
              <wp:posOffset>74</wp:posOffset>
            </wp:positionV>
            <wp:extent cx="7326630" cy="2384425"/>
            <wp:effectExtent l="0" t="0" r="0" b="0"/>
            <wp:wrapTight wrapText="bothSides">
              <wp:wrapPolygon edited="0">
                <wp:start x="56" y="345"/>
                <wp:lineTo x="56" y="7766"/>
                <wp:lineTo x="5055" y="8974"/>
                <wp:lineTo x="3370" y="8974"/>
                <wp:lineTo x="3370" y="9836"/>
                <wp:lineTo x="10783" y="11735"/>
                <wp:lineTo x="786" y="13806"/>
                <wp:lineTo x="786" y="21399"/>
                <wp:lineTo x="2078" y="21399"/>
                <wp:lineTo x="2078" y="20018"/>
                <wp:lineTo x="4886" y="20018"/>
                <wp:lineTo x="19881" y="17775"/>
                <wp:lineTo x="20050" y="15704"/>
                <wp:lineTo x="17803" y="15359"/>
                <wp:lineTo x="4718" y="14496"/>
                <wp:lineTo x="10783" y="11735"/>
                <wp:lineTo x="11345" y="9664"/>
                <wp:lineTo x="11345" y="8974"/>
                <wp:lineTo x="21342" y="8801"/>
                <wp:lineTo x="21285" y="6385"/>
                <wp:lineTo x="2808" y="6213"/>
                <wp:lineTo x="19039" y="4832"/>
                <wp:lineTo x="19039" y="3969"/>
                <wp:lineTo x="20275" y="3451"/>
                <wp:lineTo x="20275" y="2416"/>
                <wp:lineTo x="2808" y="345"/>
                <wp:lineTo x="56" y="345"/>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6979"/>
                    <a:stretch/>
                  </pic:blipFill>
                  <pic:spPr bwMode="auto">
                    <a:xfrm>
                      <a:off x="0" y="0"/>
                      <a:ext cx="7326630" cy="238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59F869" w14:textId="337B7D11" w:rsidR="004E3968" w:rsidRDefault="004E3968" w:rsidP="00AE1B0B">
      <w:pPr>
        <w:rPr>
          <w:lang w:val="en-AU"/>
        </w:rPr>
      </w:pPr>
    </w:p>
    <w:p w14:paraId="4D316DD5" w14:textId="65AF0B8D" w:rsidR="00FE4C78" w:rsidRPr="00A048D6" w:rsidRDefault="00FE4C78" w:rsidP="00AE1B0B">
      <w:pPr>
        <w:rPr>
          <w:lang w:val="en-AU"/>
        </w:rPr>
      </w:pPr>
    </w:p>
    <w:p w14:paraId="5BA34FD0" w14:textId="075B17BD" w:rsidR="004E3968" w:rsidRPr="004E3968" w:rsidRDefault="004E3968">
      <w:pPr>
        <w:rPr>
          <w:lang w:val="en-AU"/>
        </w:rPr>
      </w:pPr>
      <w:r w:rsidRPr="00FE4C78">
        <w:rPr>
          <w:noProof/>
        </w:rPr>
        <w:drawing>
          <wp:anchor distT="0" distB="0" distL="114300" distR="114300" simplePos="0" relativeHeight="251671552" behindDoc="1" locked="0" layoutInCell="1" allowOverlap="1" wp14:anchorId="7EB23276" wp14:editId="43D51C2C">
            <wp:simplePos x="0" y="0"/>
            <wp:positionH relativeFrom="page">
              <wp:posOffset>354050</wp:posOffset>
            </wp:positionH>
            <wp:positionV relativeFrom="paragraph">
              <wp:posOffset>762089</wp:posOffset>
            </wp:positionV>
            <wp:extent cx="7312025" cy="1485265"/>
            <wp:effectExtent l="0" t="0" r="0" b="0"/>
            <wp:wrapTight wrapText="bothSides">
              <wp:wrapPolygon edited="0">
                <wp:start x="3602" y="2216"/>
                <wp:lineTo x="506" y="2770"/>
                <wp:lineTo x="281" y="3047"/>
                <wp:lineTo x="281" y="15237"/>
                <wp:lineTo x="900" y="16068"/>
                <wp:lineTo x="3489" y="16068"/>
                <wp:lineTo x="3433" y="17731"/>
                <wp:lineTo x="8723" y="18285"/>
                <wp:lineTo x="8948" y="18285"/>
                <wp:lineTo x="16657" y="17731"/>
                <wp:lineTo x="16882" y="16068"/>
                <wp:lineTo x="21272" y="15514"/>
                <wp:lineTo x="21441" y="11636"/>
                <wp:lineTo x="20653" y="11636"/>
                <wp:lineTo x="20934" y="7480"/>
                <wp:lineTo x="21272" y="7203"/>
                <wp:lineTo x="21384" y="5264"/>
                <wp:lineTo x="10242" y="2216"/>
                <wp:lineTo x="3602" y="221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77" t="62226" r="477" b="23397"/>
                    <a:stretch/>
                  </pic:blipFill>
                  <pic:spPr bwMode="auto">
                    <a:xfrm>
                      <a:off x="0" y="0"/>
                      <a:ext cx="7312025" cy="1485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7E3F">
        <w:rPr>
          <w:lang w:val="en-AU"/>
        </w:rPr>
        <w:br w:type="page"/>
      </w:r>
    </w:p>
    <w:p w14:paraId="6C6D2E64" w14:textId="6C1C2F20" w:rsidR="008B2140" w:rsidRDefault="008B2140" w:rsidP="00110706">
      <w:pPr>
        <w:pStyle w:val="Heading1"/>
        <w:rPr>
          <w:rFonts w:ascii="Calibri" w:hAnsi="Calibri" w:cs="Calibri"/>
          <w:lang w:val="en-AU"/>
        </w:rPr>
      </w:pPr>
      <w:bookmarkStart w:id="5" w:name="_Toc501451658"/>
      <w:r w:rsidRPr="00394C86">
        <w:rPr>
          <w:rFonts w:ascii="Calibri" w:hAnsi="Calibri" w:cs="Calibri"/>
          <w:lang w:val="en-AU"/>
        </w:rPr>
        <w:lastRenderedPageBreak/>
        <w:t>Analysis and Strategic Context</w:t>
      </w:r>
      <w:bookmarkEnd w:id="5"/>
    </w:p>
    <w:p w14:paraId="00F3153D" w14:textId="79E755D6" w:rsidR="00FE4C78" w:rsidRDefault="00FE4C78" w:rsidP="00FE4C78">
      <w:pPr>
        <w:rPr>
          <w:lang w:val="en-AU"/>
        </w:rPr>
      </w:pPr>
    </w:p>
    <w:p w14:paraId="171678C3" w14:textId="521871E4" w:rsidR="00A91D57" w:rsidRPr="00560CDB" w:rsidRDefault="00A91D57" w:rsidP="00A91D57">
      <w:pPr>
        <w:spacing w:after="120" w:line="276" w:lineRule="auto"/>
        <w:rPr>
          <w:lang w:val="en-AU"/>
        </w:rPr>
      </w:pPr>
      <w:bookmarkStart w:id="6" w:name="_Hlk498950307"/>
      <w:r w:rsidRPr="00560CDB">
        <w:rPr>
          <w:lang w:val="en-AU"/>
        </w:rPr>
        <w:t xml:space="preserve">Small </w:t>
      </w:r>
      <w:r w:rsidR="00ED5274" w:rsidRPr="00560CDB">
        <w:rPr>
          <w:lang w:val="en-AU"/>
        </w:rPr>
        <w:t xml:space="preserve">island </w:t>
      </w:r>
      <w:r w:rsidRPr="00560CDB">
        <w:rPr>
          <w:lang w:val="en-AU"/>
        </w:rPr>
        <w:t xml:space="preserve">developing states are among the most vulnerable countries in the world </w:t>
      </w:r>
      <w:r w:rsidR="009A143B" w:rsidRPr="00560CDB">
        <w:rPr>
          <w:lang w:val="en-AU"/>
        </w:rPr>
        <w:t xml:space="preserve">with respect </w:t>
      </w:r>
      <w:r w:rsidRPr="00560CDB">
        <w:rPr>
          <w:lang w:val="en-AU"/>
        </w:rPr>
        <w:t xml:space="preserve">to natural disasters and climate change. The UN World Risk Index, which measures exposure to natural hazards and the capacity to cope with these events across 171 countries, places small </w:t>
      </w:r>
      <w:r w:rsidR="00ED5274" w:rsidRPr="00560CDB">
        <w:rPr>
          <w:lang w:val="en-AU"/>
        </w:rPr>
        <w:t xml:space="preserve">island </w:t>
      </w:r>
      <w:r w:rsidRPr="00560CDB">
        <w:rPr>
          <w:lang w:val="en-AU"/>
        </w:rPr>
        <w:t xml:space="preserve">developing states at the top of its ranking. In addition to </w:t>
      </w:r>
      <w:r w:rsidR="00613F53" w:rsidRPr="00560CDB">
        <w:rPr>
          <w:lang w:val="en-AU"/>
        </w:rPr>
        <w:t xml:space="preserve">their </w:t>
      </w:r>
      <w:r w:rsidRPr="00560CDB">
        <w:rPr>
          <w:lang w:val="en-AU"/>
        </w:rPr>
        <w:t>limited capacity to respond to natural disasters, these countries are more frequently hit by extreme weather events than larger countries</w:t>
      </w:r>
      <w:r w:rsidR="00613F53" w:rsidRPr="00560CDB">
        <w:rPr>
          <w:lang w:val="en-AU"/>
        </w:rPr>
        <w:t>,</w:t>
      </w:r>
      <w:r w:rsidRPr="00560CDB">
        <w:rPr>
          <w:lang w:val="en-AU"/>
        </w:rPr>
        <w:t xml:space="preserve"> and the economic costs of these events are much </w:t>
      </w:r>
      <w:r w:rsidR="009A143B" w:rsidRPr="00560CDB">
        <w:rPr>
          <w:lang w:val="en-AU"/>
        </w:rPr>
        <w:t>high</w:t>
      </w:r>
      <w:r w:rsidRPr="00560CDB">
        <w:rPr>
          <w:lang w:val="en-AU"/>
        </w:rPr>
        <w:t xml:space="preserve">er </w:t>
      </w:r>
      <w:r w:rsidR="009A143B" w:rsidRPr="00560CDB">
        <w:rPr>
          <w:lang w:val="en-AU"/>
        </w:rPr>
        <w:t xml:space="preserve">on average </w:t>
      </w:r>
      <w:r w:rsidRPr="00560CDB">
        <w:rPr>
          <w:lang w:val="en-AU"/>
        </w:rPr>
        <w:t>(IMF, 2016a). Climate change will only worsen the reach of natural disasters by increasing their intensity and frequency (IPCC, 2014).</w:t>
      </w:r>
      <w:r w:rsidRPr="00560CDB">
        <w:rPr>
          <w:rStyle w:val="FootnoteReference"/>
          <w:lang w:val="en-AU"/>
        </w:rPr>
        <w:footnoteReference w:id="8"/>
      </w:r>
      <w:r w:rsidR="000C0164" w:rsidRPr="00394C86">
        <w:rPr>
          <w:lang w:val="en-AU"/>
        </w:rPr>
        <w:br/>
      </w:r>
      <w:r w:rsidR="000C0164" w:rsidRPr="00394C86">
        <w:rPr>
          <w:lang w:val="en-AU"/>
        </w:rPr>
        <w:br/>
      </w:r>
      <w:bookmarkEnd w:id="6"/>
      <w:r w:rsidRPr="00560CDB">
        <w:rPr>
          <w:lang w:val="en-AU"/>
        </w:rPr>
        <w:t xml:space="preserve">Recent disaster events in the Pacific region have highlighted the </w:t>
      </w:r>
      <w:proofErr w:type="gramStart"/>
      <w:r w:rsidRPr="00560CDB">
        <w:rPr>
          <w:lang w:val="en-AU"/>
        </w:rPr>
        <w:t>high risk</w:t>
      </w:r>
      <w:proofErr w:type="gramEnd"/>
      <w:r w:rsidRPr="00560CDB">
        <w:rPr>
          <w:lang w:val="en-AU"/>
        </w:rPr>
        <w:t xml:space="preserve"> of natural hazards in this region and the impacts of these hazards on people and infrastructure. </w:t>
      </w:r>
    </w:p>
    <w:p w14:paraId="542384FD" w14:textId="1D8BCB7E" w:rsidR="00A91D57" w:rsidRPr="00560CDB" w:rsidRDefault="00A91D57" w:rsidP="00A91D57">
      <w:pPr>
        <w:pStyle w:val="ListParagraph"/>
        <w:numPr>
          <w:ilvl w:val="0"/>
          <w:numId w:val="32"/>
        </w:numPr>
        <w:spacing w:before="120" w:after="120" w:line="276" w:lineRule="auto"/>
      </w:pPr>
      <w:r w:rsidRPr="00560CDB">
        <w:t xml:space="preserve">In February 2016, category five </w:t>
      </w:r>
      <w:r w:rsidR="003E7104" w:rsidRPr="00560CDB">
        <w:t>T</w:t>
      </w:r>
      <w:r w:rsidRPr="00560CDB">
        <w:t xml:space="preserve">ropical </w:t>
      </w:r>
      <w:r w:rsidR="003E7104" w:rsidRPr="00560CDB">
        <w:t>C</w:t>
      </w:r>
      <w:r w:rsidRPr="00560CDB">
        <w:t xml:space="preserve">yclone Winston struck Fiji. A total of </w:t>
      </w:r>
      <w:r w:rsidR="00200C2C" w:rsidRPr="00560CDB">
        <w:t>3</w:t>
      </w:r>
      <w:r w:rsidRPr="00560CDB">
        <w:t>0,000 homes were damaged or destroyed, leaving approximately 131,000 people in need of immediate shelter assistance. In addition, 229 schools were severely damaged or destroyed.</w:t>
      </w:r>
    </w:p>
    <w:p w14:paraId="71B1C7EE" w14:textId="2849BD12" w:rsidR="00A91D57" w:rsidRPr="00560CDB" w:rsidRDefault="00524F9E" w:rsidP="00A91D57">
      <w:pPr>
        <w:pStyle w:val="ListParagraph"/>
        <w:numPr>
          <w:ilvl w:val="0"/>
          <w:numId w:val="32"/>
        </w:numPr>
        <w:spacing w:before="120" w:after="120" w:line="276" w:lineRule="auto"/>
      </w:pPr>
      <w:r w:rsidRPr="00560CDB">
        <w:t>In March 2015,</w:t>
      </w:r>
      <w:r w:rsidR="00A91D57" w:rsidRPr="00560CDB">
        <w:t xml:space="preserve"> category five </w:t>
      </w:r>
      <w:r w:rsidR="003E7104" w:rsidRPr="00560CDB">
        <w:t>Tropical C</w:t>
      </w:r>
      <w:r w:rsidR="00A91D57" w:rsidRPr="00560CDB">
        <w:t>yclone Pam hit Vanuatu</w:t>
      </w:r>
      <w:r w:rsidRPr="00560CDB">
        <w:t xml:space="preserve">. It </w:t>
      </w:r>
      <w:r w:rsidR="00A91D57" w:rsidRPr="00560CDB">
        <w:t>inflicted damage and losses of about 60 per</w:t>
      </w:r>
      <w:r w:rsidR="003E7104" w:rsidRPr="00560CDB">
        <w:t xml:space="preserve"> </w:t>
      </w:r>
      <w:r w:rsidR="00A91D57" w:rsidRPr="00560CDB">
        <w:t>cent of GDP, affect</w:t>
      </w:r>
      <w:r w:rsidR="00613F53" w:rsidRPr="00560CDB">
        <w:t>ing</w:t>
      </w:r>
      <w:r w:rsidR="00A91D57" w:rsidRPr="00560CDB">
        <w:t xml:space="preserve"> more than 188,000 inhabitants (more than 70 per</w:t>
      </w:r>
      <w:r w:rsidRPr="00560CDB">
        <w:t xml:space="preserve"> </w:t>
      </w:r>
      <w:r w:rsidR="00A91D57" w:rsidRPr="00560CDB">
        <w:t xml:space="preserve">cent of the population). </w:t>
      </w:r>
    </w:p>
    <w:p w14:paraId="4C4FF67D" w14:textId="1138C7DC" w:rsidR="00A91D57" w:rsidRPr="00560CDB" w:rsidRDefault="00A91D57" w:rsidP="00A91D57">
      <w:pPr>
        <w:pStyle w:val="ListParagraph"/>
        <w:numPr>
          <w:ilvl w:val="0"/>
          <w:numId w:val="32"/>
        </w:numPr>
        <w:spacing w:before="120" w:after="120" w:line="276" w:lineRule="auto"/>
      </w:pPr>
      <w:r w:rsidRPr="00560CDB">
        <w:t>The 2015</w:t>
      </w:r>
      <w:r w:rsidR="00613F53" w:rsidRPr="00560CDB">
        <w:t>–</w:t>
      </w:r>
      <w:r w:rsidRPr="00560CDB">
        <w:t xml:space="preserve">16 El </w:t>
      </w:r>
      <w:r w:rsidR="003E7104" w:rsidRPr="00560CDB">
        <w:t>Niño</w:t>
      </w:r>
      <w:r w:rsidRPr="00560CDB">
        <w:t xml:space="preserve"> resulted in severe droughts in many countries in the Pacific and in Timor</w:t>
      </w:r>
      <w:r w:rsidR="003B39C9" w:rsidRPr="00560CDB">
        <w:t>-</w:t>
      </w:r>
      <w:r w:rsidRPr="00560CDB">
        <w:t>Leste</w:t>
      </w:r>
      <w:r w:rsidR="00613F53" w:rsidRPr="00560CDB">
        <w:t>,</w:t>
      </w:r>
      <w:r w:rsidRPr="00560CDB">
        <w:t xml:space="preserve"> with significant impacts on health and livelihoods. </w:t>
      </w:r>
      <w:r w:rsidR="003E7104" w:rsidRPr="00560CDB">
        <w:t xml:space="preserve"> </w:t>
      </w:r>
    </w:p>
    <w:p w14:paraId="21DD3DE4" w14:textId="05F2AA9A" w:rsidR="00A91D57" w:rsidRPr="00560CDB" w:rsidRDefault="00A540AE" w:rsidP="00A91D57">
      <w:pPr>
        <w:spacing w:after="120" w:line="276" w:lineRule="auto"/>
        <w:rPr>
          <w:lang w:val="en-AU"/>
        </w:rPr>
      </w:pPr>
      <w:bookmarkStart w:id="7" w:name="_Hlk498951492"/>
      <w:r w:rsidRPr="00560CDB">
        <w:rPr>
          <w:lang w:val="en-AU"/>
        </w:rPr>
        <w:br/>
      </w:r>
      <w:r w:rsidR="00A91D57" w:rsidRPr="00560CDB">
        <w:rPr>
          <w:lang w:val="en-AU"/>
        </w:rPr>
        <w:t>The World Risk Register (201</w:t>
      </w:r>
      <w:r w:rsidR="001E1992" w:rsidRPr="00560CDB">
        <w:rPr>
          <w:lang w:val="en-AU"/>
        </w:rPr>
        <w:t>7</w:t>
      </w:r>
      <w:r w:rsidR="00A91D57" w:rsidRPr="00560CDB">
        <w:rPr>
          <w:lang w:val="en-AU"/>
        </w:rPr>
        <w:t>)</w:t>
      </w:r>
      <w:r w:rsidR="00A91D57" w:rsidRPr="00560CDB">
        <w:rPr>
          <w:rStyle w:val="FootnoteReference"/>
          <w:lang w:val="en-AU"/>
        </w:rPr>
        <w:footnoteReference w:id="9"/>
      </w:r>
      <w:r w:rsidR="00A91D57" w:rsidRPr="00560CDB">
        <w:rPr>
          <w:lang w:val="en-AU"/>
        </w:rPr>
        <w:t xml:space="preserve"> identified Vanuatu, Solomon Islands, PNG, Timor</w:t>
      </w:r>
      <w:r w:rsidR="003B39C9" w:rsidRPr="00560CDB">
        <w:rPr>
          <w:lang w:val="en-AU"/>
        </w:rPr>
        <w:t>-</w:t>
      </w:r>
      <w:r w:rsidR="00A91D57" w:rsidRPr="00560CDB">
        <w:rPr>
          <w:lang w:val="en-AU"/>
        </w:rPr>
        <w:t>Leste and Fiji amongst the 1</w:t>
      </w:r>
      <w:r w:rsidR="001E1992" w:rsidRPr="00560CDB">
        <w:rPr>
          <w:lang w:val="en-AU"/>
        </w:rPr>
        <w:t>5</w:t>
      </w:r>
      <w:r w:rsidR="00A91D57" w:rsidRPr="00560CDB">
        <w:rPr>
          <w:lang w:val="en-AU"/>
        </w:rPr>
        <w:t xml:space="preserve"> countries at highest disaster risk. The UNESCAP 2017 Asia</w:t>
      </w:r>
      <w:r w:rsidR="00613F53" w:rsidRPr="00560CDB">
        <w:rPr>
          <w:lang w:val="en-AU"/>
        </w:rPr>
        <w:t>-</w:t>
      </w:r>
      <w:r w:rsidR="00A91D57" w:rsidRPr="00560CDB">
        <w:rPr>
          <w:lang w:val="en-AU"/>
        </w:rPr>
        <w:t>Pacific Disaster Report</w:t>
      </w:r>
      <w:r w:rsidR="00A91D57" w:rsidRPr="00560CDB">
        <w:rPr>
          <w:rStyle w:val="FootnoteReference"/>
          <w:lang w:val="en-AU"/>
        </w:rPr>
        <w:footnoteReference w:id="10"/>
      </w:r>
      <w:r w:rsidR="00A91D57" w:rsidRPr="00560CDB">
        <w:rPr>
          <w:lang w:val="en-AU"/>
        </w:rPr>
        <w:t xml:space="preserve"> found that countries with special needs, </w:t>
      </w:r>
      <w:proofErr w:type="gramStart"/>
      <w:r w:rsidR="00A91D57" w:rsidRPr="00560CDB">
        <w:rPr>
          <w:lang w:val="en-AU"/>
        </w:rPr>
        <w:t>in particular small</w:t>
      </w:r>
      <w:proofErr w:type="gramEnd"/>
      <w:r w:rsidR="00A91D57" w:rsidRPr="00560CDB">
        <w:rPr>
          <w:lang w:val="en-AU"/>
        </w:rPr>
        <w:t xml:space="preserve"> island developing states, were expected to experience average annual losses close to four per cent of their Gross Domestic Product (GDP) as a result of natural disasters and the worsening impacts of climate change. </w:t>
      </w:r>
      <w:r w:rsidRPr="00560CDB">
        <w:rPr>
          <w:lang w:val="en-AU"/>
        </w:rPr>
        <w:br/>
      </w:r>
      <w:r w:rsidRPr="00560CDB">
        <w:rPr>
          <w:lang w:val="en-AU"/>
        </w:rPr>
        <w:br/>
      </w:r>
      <w:bookmarkEnd w:id="7"/>
      <w:r w:rsidR="00A91D57" w:rsidRPr="00560CDB">
        <w:rPr>
          <w:lang w:val="en-AU"/>
        </w:rPr>
        <w:t xml:space="preserve">Climate change exacerbates the magnitude and impacts of natural hazards. Pacific </w:t>
      </w:r>
      <w:r w:rsidR="00613F53" w:rsidRPr="00560CDB">
        <w:rPr>
          <w:lang w:val="en-AU"/>
        </w:rPr>
        <w:t>I</w:t>
      </w:r>
      <w:r w:rsidR="00A91D57" w:rsidRPr="00560CDB">
        <w:rPr>
          <w:lang w:val="en-AU"/>
        </w:rPr>
        <w:t>sland countries are highly exposed to cyclones, droughts, landslides and floods, volcanic eruptions, earthquakes and tsunamis. Looking ahead, climate change predictions include an increase in extreme hot days and warm nights, extreme rainfall events, intensity of tropical cyclones in the South Pacific, sea level rise and ocean acidification</w:t>
      </w:r>
      <w:r w:rsidR="00A91D57" w:rsidRPr="00560CDB">
        <w:rPr>
          <w:rStyle w:val="FootnoteReference"/>
          <w:lang w:val="en-AU"/>
        </w:rPr>
        <w:footnoteReference w:id="11"/>
      </w:r>
      <w:r w:rsidR="00A91D57" w:rsidRPr="00560CDB">
        <w:rPr>
          <w:lang w:val="en-AU"/>
        </w:rPr>
        <w:t xml:space="preserve">. </w:t>
      </w:r>
    </w:p>
    <w:p w14:paraId="633525F3" w14:textId="1C35CE22" w:rsidR="00A91D57" w:rsidRPr="00560CDB" w:rsidRDefault="00A91D57" w:rsidP="00A91D57">
      <w:pPr>
        <w:spacing w:after="120" w:line="276" w:lineRule="auto"/>
        <w:rPr>
          <w:lang w:val="en-AU"/>
        </w:rPr>
      </w:pPr>
      <w:r w:rsidRPr="00560CDB">
        <w:rPr>
          <w:lang w:val="en-AU"/>
        </w:rPr>
        <w:lastRenderedPageBreak/>
        <w:t>Less</w:t>
      </w:r>
      <w:r w:rsidR="00C41946" w:rsidRPr="00560CDB">
        <w:rPr>
          <w:lang w:val="en-AU"/>
        </w:rPr>
        <w:t>er</w:t>
      </w:r>
      <w:r w:rsidR="00E212A4" w:rsidRPr="00560CDB">
        <w:rPr>
          <w:lang w:val="en-AU"/>
        </w:rPr>
        <w:t>-</w:t>
      </w:r>
      <w:r w:rsidRPr="00560CDB">
        <w:rPr>
          <w:lang w:val="en-AU"/>
        </w:rPr>
        <w:t>developed states and economies are more vulnerable to disaster impacts. Since 1980, low</w:t>
      </w:r>
      <w:r w:rsidR="00E212A4" w:rsidRPr="00560CDB">
        <w:rPr>
          <w:lang w:val="en-AU"/>
        </w:rPr>
        <w:t>-</w:t>
      </w:r>
      <w:r w:rsidRPr="00560CDB">
        <w:rPr>
          <w:lang w:val="en-AU"/>
        </w:rPr>
        <w:t>income countries have accounted for nine per</w:t>
      </w:r>
      <w:r w:rsidR="00E212A4" w:rsidRPr="00560CDB">
        <w:rPr>
          <w:lang w:val="en-AU"/>
        </w:rPr>
        <w:t xml:space="preserve"> </w:t>
      </w:r>
      <w:r w:rsidRPr="00560CDB">
        <w:rPr>
          <w:lang w:val="en-AU"/>
        </w:rPr>
        <w:t>cent of the disaster events but 48 per</w:t>
      </w:r>
      <w:r w:rsidR="00E212A4" w:rsidRPr="00560CDB">
        <w:rPr>
          <w:lang w:val="en-AU"/>
        </w:rPr>
        <w:t xml:space="preserve"> </w:t>
      </w:r>
      <w:r w:rsidRPr="00560CDB">
        <w:rPr>
          <w:lang w:val="en-AU"/>
        </w:rPr>
        <w:t>cent of the fatalities</w:t>
      </w:r>
      <w:r w:rsidRPr="00560CDB">
        <w:rPr>
          <w:rStyle w:val="FootnoteReference"/>
          <w:lang w:val="en-AU"/>
        </w:rPr>
        <w:footnoteReference w:id="12"/>
      </w:r>
      <w:r w:rsidRPr="00560CDB">
        <w:rPr>
          <w:lang w:val="en-AU"/>
        </w:rPr>
        <w:t>.</w:t>
      </w:r>
      <w:r w:rsidR="00A540AE" w:rsidRPr="00560CDB">
        <w:rPr>
          <w:lang w:val="en-AU"/>
        </w:rPr>
        <w:br/>
      </w:r>
      <w:r w:rsidR="00A540AE" w:rsidRPr="00560CDB">
        <w:rPr>
          <w:lang w:val="en-AU"/>
        </w:rPr>
        <w:br/>
      </w:r>
      <w:r w:rsidRPr="00560CDB">
        <w:rPr>
          <w:lang w:val="en-AU"/>
        </w:rPr>
        <w:t>Similarly, the poor and marginal</w:t>
      </w:r>
      <w:r w:rsidR="007C6B5A" w:rsidRPr="00560CDB">
        <w:rPr>
          <w:lang w:val="en-AU"/>
        </w:rPr>
        <w:t>i</w:t>
      </w:r>
      <w:r w:rsidRPr="00560CDB">
        <w:rPr>
          <w:lang w:val="en-AU"/>
        </w:rPr>
        <w:t xml:space="preserve">sed within these states are more vulnerable to the long-term negative impacts from natural disasters. </w:t>
      </w:r>
    </w:p>
    <w:p w14:paraId="08FDCA1A" w14:textId="77777777" w:rsidR="00A91D57" w:rsidRPr="00560CDB" w:rsidRDefault="00A91D57" w:rsidP="00A91D57">
      <w:pPr>
        <w:spacing w:after="120" w:line="276" w:lineRule="auto"/>
        <w:ind w:left="360"/>
        <w:rPr>
          <w:lang w:val="en-AU"/>
        </w:rPr>
      </w:pPr>
      <w:r w:rsidRPr="00560CDB">
        <w:rPr>
          <w:lang w:val="en-AU"/>
        </w:rPr>
        <w:t>“Disasters affect the poor and vulnerable disproportionately, especially women, children, the elderly, and those recovering from the impact of conflicts. Women are more likely than men to die from disasters when their socioeconomic status is low”</w:t>
      </w:r>
      <w:r w:rsidRPr="00560CDB">
        <w:rPr>
          <w:rStyle w:val="FootnoteReference"/>
          <w:lang w:val="en-AU"/>
        </w:rPr>
        <w:footnoteReference w:id="13"/>
      </w:r>
      <w:r w:rsidRPr="00560CDB">
        <w:rPr>
          <w:lang w:val="en-AU"/>
        </w:rPr>
        <w:t>.</w:t>
      </w:r>
    </w:p>
    <w:p w14:paraId="068DB420" w14:textId="0F25FF17" w:rsidR="00636BD0" w:rsidRPr="00AE1B0B" w:rsidRDefault="00A540AE" w:rsidP="00A91D57">
      <w:pPr>
        <w:spacing w:after="120" w:line="276" w:lineRule="auto"/>
        <w:rPr>
          <w:lang w:val="en-AU"/>
        </w:rPr>
      </w:pPr>
      <w:r w:rsidRPr="00560CDB">
        <w:rPr>
          <w:lang w:val="en-AU"/>
        </w:rPr>
        <w:br/>
      </w:r>
      <w:r w:rsidR="00A91D57" w:rsidRPr="00560CDB">
        <w:rPr>
          <w:lang w:val="en-AU"/>
        </w:rPr>
        <w:t>Women, people with disabilities</w:t>
      </w:r>
      <w:r w:rsidR="009D2842" w:rsidRPr="00560CDB">
        <w:rPr>
          <w:lang w:val="en-AU"/>
        </w:rPr>
        <w:t xml:space="preserve">, </w:t>
      </w:r>
      <w:r w:rsidR="00A91D57" w:rsidRPr="00560CDB">
        <w:rPr>
          <w:lang w:val="en-AU"/>
        </w:rPr>
        <w:t xml:space="preserve">children </w:t>
      </w:r>
      <w:r w:rsidR="009D2842" w:rsidRPr="00560CDB">
        <w:rPr>
          <w:lang w:val="en-AU"/>
        </w:rPr>
        <w:t xml:space="preserve">and the elderly </w:t>
      </w:r>
      <w:r w:rsidR="00A91D57" w:rsidRPr="00560CDB">
        <w:rPr>
          <w:lang w:val="en-AU"/>
        </w:rPr>
        <w:t xml:space="preserve">have fewer assets and </w:t>
      </w:r>
      <w:r w:rsidR="00C41946" w:rsidRPr="00560CDB">
        <w:rPr>
          <w:lang w:val="en-AU"/>
        </w:rPr>
        <w:t xml:space="preserve">lower </w:t>
      </w:r>
      <w:r w:rsidR="00A91D57" w:rsidRPr="00560CDB">
        <w:rPr>
          <w:lang w:val="en-AU"/>
        </w:rPr>
        <w:t xml:space="preserve">mobility </w:t>
      </w:r>
      <w:r w:rsidR="00E212A4" w:rsidRPr="00560CDB">
        <w:rPr>
          <w:lang w:val="en-AU"/>
        </w:rPr>
        <w:t xml:space="preserve">as well as </w:t>
      </w:r>
      <w:r w:rsidR="00A91D57" w:rsidRPr="00560CDB">
        <w:rPr>
          <w:lang w:val="en-AU"/>
        </w:rPr>
        <w:t>less opportunity to mitigate or reduce disaster risks. The injury rate for people with disabilities in Vanuatu during Cyclone Pam was 2.45 times higher than for people without disabilities</w:t>
      </w:r>
      <w:r w:rsidR="00A91D57" w:rsidRPr="00560CDB">
        <w:rPr>
          <w:rStyle w:val="FootnoteReference"/>
          <w:lang w:val="en-AU"/>
        </w:rPr>
        <w:footnoteReference w:id="14"/>
      </w:r>
      <w:r w:rsidR="00A91D57" w:rsidRPr="00560CDB">
        <w:rPr>
          <w:lang w:val="en-AU"/>
        </w:rPr>
        <w:t>. In the Pacific, women are more likely to be killed by disasters compared to men and are more vulnerable to sexual and gender</w:t>
      </w:r>
      <w:r w:rsidR="00E212A4" w:rsidRPr="00560CDB">
        <w:rPr>
          <w:lang w:val="en-AU"/>
        </w:rPr>
        <w:t>-</w:t>
      </w:r>
      <w:r w:rsidR="00A91D57" w:rsidRPr="00560CDB">
        <w:rPr>
          <w:lang w:val="en-AU"/>
        </w:rPr>
        <w:t>based violence. Post</w:t>
      </w:r>
      <w:r w:rsidR="00C41946" w:rsidRPr="00560CDB">
        <w:rPr>
          <w:lang w:val="en-AU"/>
        </w:rPr>
        <w:t xml:space="preserve"> </w:t>
      </w:r>
      <w:r w:rsidR="00A91D57" w:rsidRPr="00560CDB">
        <w:rPr>
          <w:lang w:val="en-AU"/>
        </w:rPr>
        <w:t xml:space="preserve">disaster, the burden on women and girls increases disproportionately as they spend more time looking for clean water, firewood and food. Women and </w:t>
      </w:r>
      <w:r w:rsidR="001A17F9" w:rsidRPr="00560CDB">
        <w:rPr>
          <w:lang w:val="en-AU"/>
        </w:rPr>
        <w:t>people with disabilities</w:t>
      </w:r>
      <w:r w:rsidR="00A91D57" w:rsidRPr="00560CDB">
        <w:rPr>
          <w:lang w:val="en-AU"/>
        </w:rPr>
        <w:t xml:space="preserve"> are </w:t>
      </w:r>
      <w:r w:rsidR="00657E60" w:rsidRPr="00560CDB">
        <w:rPr>
          <w:lang w:val="en-AU"/>
        </w:rPr>
        <w:t>marginali</w:t>
      </w:r>
      <w:r w:rsidR="009D2842" w:rsidRPr="00560CDB">
        <w:rPr>
          <w:lang w:val="en-AU"/>
        </w:rPr>
        <w:t>s</w:t>
      </w:r>
      <w:r w:rsidR="00E212A4" w:rsidRPr="00560CDB">
        <w:rPr>
          <w:lang w:val="en-AU"/>
        </w:rPr>
        <w:t>ed</w:t>
      </w:r>
      <w:r w:rsidR="00657E60" w:rsidRPr="00560CDB">
        <w:rPr>
          <w:lang w:val="en-AU"/>
        </w:rPr>
        <w:t xml:space="preserve"> </w:t>
      </w:r>
      <w:r w:rsidR="00A91D57" w:rsidRPr="00560CDB">
        <w:rPr>
          <w:lang w:val="en-AU"/>
        </w:rPr>
        <w:t xml:space="preserve">from leadership and decision-making processes, including mechanisms to prepare for and respond to disasters. </w:t>
      </w:r>
      <w:r w:rsidRPr="00560CDB">
        <w:rPr>
          <w:lang w:val="en-AU"/>
        </w:rPr>
        <w:br/>
      </w:r>
      <w:r w:rsidRPr="00560CDB">
        <w:rPr>
          <w:lang w:val="en-AU"/>
        </w:rPr>
        <w:br/>
      </w:r>
      <w:r w:rsidR="00AA4A0F" w:rsidRPr="00560CDB">
        <w:rPr>
          <w:lang w:val="en-AU"/>
        </w:rPr>
        <w:t>Reducing disaster risk is critical to reducing the impact of disasters and climate change. The Sendai Framework for Disaster Risk Reduction (2015</w:t>
      </w:r>
      <w:r w:rsidR="00C41946" w:rsidRPr="00560CDB">
        <w:rPr>
          <w:lang w:val="en-AU"/>
        </w:rPr>
        <w:t>–</w:t>
      </w:r>
      <w:r w:rsidR="00AA4A0F" w:rsidRPr="00560CDB">
        <w:rPr>
          <w:lang w:val="en-AU"/>
        </w:rPr>
        <w:t xml:space="preserve">2030) represents international consensus on the </w:t>
      </w:r>
      <w:r w:rsidR="00995CC2" w:rsidRPr="00560CDB">
        <w:rPr>
          <w:lang w:val="en-AU"/>
        </w:rPr>
        <w:t xml:space="preserve">value </w:t>
      </w:r>
      <w:r w:rsidR="00BD1DB1" w:rsidRPr="00560CDB">
        <w:rPr>
          <w:lang w:val="en-AU"/>
        </w:rPr>
        <w:t>of disaster risk reduction</w:t>
      </w:r>
      <w:r w:rsidR="000028E1" w:rsidRPr="00560CDB">
        <w:rPr>
          <w:lang w:val="en-AU"/>
        </w:rPr>
        <w:t xml:space="preserve"> (DRR)</w:t>
      </w:r>
      <w:r w:rsidR="00BD1DB1" w:rsidRPr="00560CDB">
        <w:rPr>
          <w:lang w:val="en-AU"/>
        </w:rPr>
        <w:t xml:space="preserve">.  </w:t>
      </w:r>
      <w:r w:rsidR="00E212A4" w:rsidRPr="00560CDB">
        <w:rPr>
          <w:lang w:val="en-AU"/>
        </w:rPr>
        <w:t>The f</w:t>
      </w:r>
      <w:r w:rsidR="00BD1DB1" w:rsidRPr="00560CDB">
        <w:rPr>
          <w:lang w:val="en-AU"/>
        </w:rPr>
        <w:t>our priorities for action are</w:t>
      </w:r>
      <w:r w:rsidR="00E212A4" w:rsidRPr="00560CDB">
        <w:rPr>
          <w:lang w:val="en-AU"/>
        </w:rPr>
        <w:t>:</w:t>
      </w:r>
      <w:r w:rsidR="00BD1DB1" w:rsidRPr="00560CDB">
        <w:rPr>
          <w:lang w:val="en-AU"/>
        </w:rPr>
        <w:t xml:space="preserve"> 1) </w:t>
      </w:r>
      <w:r w:rsidR="00E212A4" w:rsidRPr="00560CDB">
        <w:rPr>
          <w:lang w:val="en-AU"/>
        </w:rPr>
        <w:t>u</w:t>
      </w:r>
      <w:r w:rsidR="00BD1DB1" w:rsidRPr="00560CDB">
        <w:rPr>
          <w:lang w:val="en-AU"/>
        </w:rPr>
        <w:t>nderstanding disaster risk</w:t>
      </w:r>
      <w:r w:rsidR="00677616" w:rsidRPr="00560CDB">
        <w:rPr>
          <w:lang w:val="en-AU"/>
        </w:rPr>
        <w:t>;</w:t>
      </w:r>
      <w:r w:rsidR="00BD1DB1" w:rsidRPr="00560CDB">
        <w:rPr>
          <w:lang w:val="en-AU"/>
        </w:rPr>
        <w:t xml:space="preserve"> 2) </w:t>
      </w:r>
      <w:r w:rsidR="00E212A4" w:rsidRPr="00560CDB">
        <w:rPr>
          <w:lang w:val="en-AU"/>
        </w:rPr>
        <w:t>m</w:t>
      </w:r>
      <w:r w:rsidR="00BD1DB1" w:rsidRPr="00560CDB">
        <w:rPr>
          <w:lang w:val="en-AU"/>
        </w:rPr>
        <w:t>anaging disaster risk and strengthening risk governance</w:t>
      </w:r>
      <w:r w:rsidR="00677616" w:rsidRPr="00560CDB">
        <w:rPr>
          <w:lang w:val="en-AU"/>
        </w:rPr>
        <w:t>;</w:t>
      </w:r>
      <w:r w:rsidR="00BD1DB1" w:rsidRPr="00560CDB">
        <w:rPr>
          <w:lang w:val="en-AU"/>
        </w:rPr>
        <w:t xml:space="preserve"> 3)</w:t>
      </w:r>
      <w:r w:rsidR="00A65030" w:rsidRPr="00560CDB">
        <w:rPr>
          <w:lang w:val="en-AU"/>
        </w:rPr>
        <w:t xml:space="preserve"> </w:t>
      </w:r>
      <w:r w:rsidR="00E212A4" w:rsidRPr="00560CDB">
        <w:rPr>
          <w:lang w:val="en-AU"/>
        </w:rPr>
        <w:t>i</w:t>
      </w:r>
      <w:r w:rsidR="00BD1DB1" w:rsidRPr="00560CDB">
        <w:rPr>
          <w:lang w:val="en-AU"/>
        </w:rPr>
        <w:t>nvesting in risk reduction</w:t>
      </w:r>
      <w:r w:rsidR="00677616" w:rsidRPr="00560CDB">
        <w:rPr>
          <w:lang w:val="en-AU"/>
        </w:rPr>
        <w:t>;</w:t>
      </w:r>
      <w:r w:rsidR="00BD1DB1" w:rsidRPr="00560CDB">
        <w:rPr>
          <w:lang w:val="en-AU"/>
        </w:rPr>
        <w:t xml:space="preserve"> and 4) </w:t>
      </w:r>
      <w:r w:rsidR="00E212A4" w:rsidRPr="00560CDB">
        <w:rPr>
          <w:lang w:val="en-AU"/>
        </w:rPr>
        <w:t>e</w:t>
      </w:r>
      <w:r w:rsidR="00BD1DB1" w:rsidRPr="00560CDB">
        <w:rPr>
          <w:lang w:val="en-AU"/>
        </w:rPr>
        <w:t xml:space="preserve">nhancing preparedness. </w:t>
      </w:r>
      <w:r w:rsidR="00795C3C" w:rsidRPr="00560CDB">
        <w:rPr>
          <w:lang w:val="en-AU"/>
        </w:rPr>
        <w:t xml:space="preserve">These </w:t>
      </w:r>
      <w:r w:rsidR="00A65030" w:rsidRPr="00560CDB">
        <w:rPr>
          <w:lang w:val="en-AU"/>
        </w:rPr>
        <w:t>priorities are referenced in the Sustainable Development Goals, which explicitly link poverty with people’s vulnerability to climate and natural disasters (Goal 1</w:t>
      </w:r>
      <w:r w:rsidR="00350EDD" w:rsidRPr="00560CDB">
        <w:rPr>
          <w:lang w:val="en-AU"/>
        </w:rPr>
        <w:t>,</w:t>
      </w:r>
      <w:r w:rsidR="00A65030" w:rsidRPr="00560CDB">
        <w:rPr>
          <w:lang w:val="en-AU"/>
        </w:rPr>
        <w:t xml:space="preserve"> Target 1.5)</w:t>
      </w:r>
      <w:r w:rsidR="00350EDD" w:rsidRPr="00560CDB">
        <w:rPr>
          <w:lang w:val="en-AU"/>
        </w:rPr>
        <w:t xml:space="preserve"> and</w:t>
      </w:r>
      <w:r w:rsidR="00A65030" w:rsidRPr="00560CDB">
        <w:rPr>
          <w:lang w:val="en-AU"/>
        </w:rPr>
        <w:t xml:space="preserve"> recognise the importance of disaster</w:t>
      </w:r>
      <w:r w:rsidR="002110FF" w:rsidRPr="00560CDB">
        <w:rPr>
          <w:lang w:val="en-AU"/>
        </w:rPr>
        <w:t>-</w:t>
      </w:r>
      <w:r w:rsidR="00A65030" w:rsidRPr="00560CDB">
        <w:rPr>
          <w:lang w:val="en-AU"/>
        </w:rPr>
        <w:t xml:space="preserve"> and climate</w:t>
      </w:r>
      <w:r w:rsidR="002110FF" w:rsidRPr="00560CDB">
        <w:rPr>
          <w:lang w:val="en-AU"/>
        </w:rPr>
        <w:t>-</w:t>
      </w:r>
      <w:r w:rsidR="00A65030" w:rsidRPr="00560CDB">
        <w:rPr>
          <w:lang w:val="en-AU"/>
        </w:rPr>
        <w:t>safe cities and settlements (Goal 11</w:t>
      </w:r>
      <w:r w:rsidR="00350EDD" w:rsidRPr="00560CDB">
        <w:rPr>
          <w:lang w:val="en-AU"/>
        </w:rPr>
        <w:t>,</w:t>
      </w:r>
      <w:r w:rsidR="00A65030" w:rsidRPr="00560CDB">
        <w:rPr>
          <w:lang w:val="en-AU"/>
        </w:rPr>
        <w:t xml:space="preserve"> Target 11.5)</w:t>
      </w:r>
      <w:r w:rsidR="00350EDD" w:rsidRPr="00560CDB">
        <w:rPr>
          <w:lang w:val="en-AU"/>
        </w:rPr>
        <w:t>,</w:t>
      </w:r>
      <w:r w:rsidR="00A65030" w:rsidRPr="00560CDB">
        <w:rPr>
          <w:lang w:val="en-AU"/>
        </w:rPr>
        <w:t xml:space="preserve"> the </w:t>
      </w:r>
      <w:r w:rsidR="00E05F13" w:rsidRPr="00560CDB">
        <w:rPr>
          <w:lang w:val="en-AU"/>
        </w:rPr>
        <w:t xml:space="preserve">value </w:t>
      </w:r>
      <w:r w:rsidR="00A65030" w:rsidRPr="00560CDB">
        <w:rPr>
          <w:lang w:val="en-AU"/>
        </w:rPr>
        <w:t>of hazard mapping and early warning system</w:t>
      </w:r>
      <w:r w:rsidR="00E05F13" w:rsidRPr="00560CDB">
        <w:rPr>
          <w:lang w:val="en-AU"/>
        </w:rPr>
        <w:t>s</w:t>
      </w:r>
      <w:r w:rsidR="00A65030" w:rsidRPr="00560CDB">
        <w:rPr>
          <w:lang w:val="en-AU"/>
        </w:rPr>
        <w:t xml:space="preserve"> (Goal 13, Target 13.5)</w:t>
      </w:r>
      <w:r w:rsidR="00350EDD" w:rsidRPr="00560CDB">
        <w:rPr>
          <w:lang w:val="en-AU"/>
        </w:rPr>
        <w:t>,</w:t>
      </w:r>
      <w:r w:rsidR="00A65030" w:rsidRPr="00560CDB">
        <w:rPr>
          <w:lang w:val="en-AU"/>
        </w:rPr>
        <w:t xml:space="preserve"> and </w:t>
      </w:r>
      <w:r w:rsidR="005852D5" w:rsidRPr="00560CDB">
        <w:rPr>
          <w:lang w:val="en-AU"/>
        </w:rPr>
        <w:t xml:space="preserve">the </w:t>
      </w:r>
      <w:r w:rsidR="00E05F13" w:rsidRPr="00560CDB">
        <w:rPr>
          <w:lang w:val="en-AU"/>
        </w:rPr>
        <w:t>importance of</w:t>
      </w:r>
      <w:r w:rsidR="00A65030" w:rsidRPr="00560CDB">
        <w:rPr>
          <w:lang w:val="en-AU"/>
        </w:rPr>
        <w:t xml:space="preserve"> </w:t>
      </w:r>
      <w:r w:rsidR="00DC0CD5" w:rsidRPr="00560CDB">
        <w:rPr>
          <w:lang w:val="en-AU"/>
        </w:rPr>
        <w:t>gender equality (Goal 5)</w:t>
      </w:r>
      <w:r w:rsidR="00DC0CD5" w:rsidRPr="00560CDB">
        <w:rPr>
          <w:rStyle w:val="FootnoteReference"/>
          <w:lang w:val="en-AU"/>
        </w:rPr>
        <w:footnoteReference w:id="15"/>
      </w:r>
      <w:r w:rsidR="00E43668" w:rsidRPr="00560CDB">
        <w:rPr>
          <w:lang w:val="en-AU"/>
        </w:rPr>
        <w:t>.</w:t>
      </w:r>
      <w:r w:rsidRPr="00560CDB">
        <w:rPr>
          <w:lang w:val="en-AU"/>
        </w:rPr>
        <w:br/>
      </w:r>
      <w:r w:rsidRPr="00560CDB">
        <w:rPr>
          <w:lang w:val="en-AU"/>
        </w:rPr>
        <w:br/>
      </w:r>
      <w:r w:rsidR="00A91D57" w:rsidRPr="00560CDB">
        <w:rPr>
          <w:lang w:val="en-AU"/>
        </w:rPr>
        <w:t>The Framework for Resilient Development in the Pacific</w:t>
      </w:r>
      <w:r w:rsidR="00804F32" w:rsidRPr="00560CDB">
        <w:rPr>
          <w:lang w:val="en-AU"/>
        </w:rPr>
        <w:t>,</w:t>
      </w:r>
      <w:r w:rsidR="00A91D57" w:rsidRPr="00560CDB">
        <w:rPr>
          <w:lang w:val="en-AU"/>
        </w:rPr>
        <w:t xml:space="preserve"> adopted by Pacific countries in 2016</w:t>
      </w:r>
      <w:r w:rsidR="00804F32" w:rsidRPr="00560CDB">
        <w:rPr>
          <w:lang w:val="en-AU"/>
        </w:rPr>
        <w:t>,</w:t>
      </w:r>
      <w:r w:rsidR="00A91D57" w:rsidRPr="00560CDB">
        <w:rPr>
          <w:lang w:val="en-AU"/>
        </w:rPr>
        <w:t xml:space="preserve"> provides a multi-stakeholder platform for </w:t>
      </w:r>
      <w:r w:rsidR="00C44D2E" w:rsidRPr="00560CDB">
        <w:rPr>
          <w:lang w:val="en-AU"/>
        </w:rPr>
        <w:t xml:space="preserve">integrated </w:t>
      </w:r>
      <w:r w:rsidR="00A91D57" w:rsidRPr="00560CDB">
        <w:rPr>
          <w:lang w:val="en-AU"/>
        </w:rPr>
        <w:t>action on disaster management and climate change. The Framework advocates an inclusive approach to planning and decision</w:t>
      </w:r>
      <w:r w:rsidR="00350EDD" w:rsidRPr="00560CDB">
        <w:rPr>
          <w:lang w:val="en-AU"/>
        </w:rPr>
        <w:t>-</w:t>
      </w:r>
      <w:r w:rsidR="00A91D57" w:rsidRPr="00560CDB">
        <w:rPr>
          <w:lang w:val="en-AU"/>
        </w:rPr>
        <w:t xml:space="preserve">making, recognising that decision-making and preparation are likely to be more effective when they include those most vulnerable. At </w:t>
      </w:r>
      <w:r w:rsidR="00A91D57" w:rsidRPr="00560CDB">
        <w:rPr>
          <w:lang w:val="en-AU"/>
        </w:rPr>
        <w:lastRenderedPageBreak/>
        <w:t>national levels, resilience</w:t>
      </w:r>
      <w:r w:rsidR="00350EDD" w:rsidRPr="00560CDB">
        <w:rPr>
          <w:lang w:val="en-AU"/>
        </w:rPr>
        <w:t>-</w:t>
      </w:r>
      <w:r w:rsidR="00A91D57" w:rsidRPr="00560CDB">
        <w:rPr>
          <w:lang w:val="en-AU"/>
        </w:rPr>
        <w:t>orientated approaches to preparedness are at various stages of development and implementation. Most efforts at national level are not matched at the implementation level sub</w:t>
      </w:r>
      <w:r w:rsidR="00350EDD" w:rsidRPr="00560CDB">
        <w:rPr>
          <w:lang w:val="en-AU"/>
        </w:rPr>
        <w:t>-</w:t>
      </w:r>
      <w:r w:rsidR="00A91D57" w:rsidRPr="00560CDB">
        <w:rPr>
          <w:lang w:val="en-AU"/>
        </w:rPr>
        <w:t xml:space="preserve">nationally due to resource constraints, relatively weak capacity, and poor linkages between national and local levels of governance. </w:t>
      </w:r>
      <w:r w:rsidRPr="00560CDB">
        <w:rPr>
          <w:lang w:val="en-AU"/>
        </w:rPr>
        <w:br/>
      </w:r>
      <w:r w:rsidRPr="00560CDB">
        <w:rPr>
          <w:lang w:val="en-AU"/>
        </w:rPr>
        <w:br/>
      </w:r>
      <w:r w:rsidR="00A91D57" w:rsidRPr="00560CDB">
        <w:rPr>
          <w:lang w:val="en-AU"/>
        </w:rPr>
        <w:t xml:space="preserve">At community and family level, traditional approaches to dealing with natural hazards have developed due to remoteness and the absence of state or other service delivery.  </w:t>
      </w:r>
      <w:r w:rsidR="004C7458" w:rsidRPr="00560CDB">
        <w:rPr>
          <w:lang w:val="en-AU"/>
        </w:rPr>
        <w:t>Communities are first responders</w:t>
      </w:r>
      <w:r w:rsidR="00350EDD" w:rsidRPr="00560CDB">
        <w:rPr>
          <w:lang w:val="en-AU"/>
        </w:rPr>
        <w:t>;</w:t>
      </w:r>
      <w:r w:rsidR="004C7458" w:rsidRPr="00560CDB">
        <w:rPr>
          <w:lang w:val="en-AU"/>
        </w:rPr>
        <w:t xml:space="preserve"> women play critical roles as primary caregivers and informal leaders during disasters</w:t>
      </w:r>
      <w:r w:rsidR="009F33FE" w:rsidRPr="00560CDB">
        <w:rPr>
          <w:lang w:val="en-AU"/>
        </w:rPr>
        <w:t xml:space="preserve"> while men occupy formal leadership positions</w:t>
      </w:r>
      <w:r w:rsidR="004C7458" w:rsidRPr="00560CDB">
        <w:rPr>
          <w:lang w:val="en-AU"/>
        </w:rPr>
        <w:t xml:space="preserve">. </w:t>
      </w:r>
      <w:r w:rsidR="00A91D57" w:rsidRPr="00560CDB">
        <w:rPr>
          <w:lang w:val="en-AU"/>
        </w:rPr>
        <w:t>Churches and other faith</w:t>
      </w:r>
      <w:r w:rsidR="00350EDD" w:rsidRPr="00560CDB">
        <w:rPr>
          <w:lang w:val="en-AU"/>
        </w:rPr>
        <w:t>-</w:t>
      </w:r>
      <w:r w:rsidR="00A91D57" w:rsidRPr="00560CDB">
        <w:rPr>
          <w:lang w:val="en-AU"/>
        </w:rPr>
        <w:t>based organisations shap</w:t>
      </w:r>
      <w:r w:rsidR="009F33FE" w:rsidRPr="00560CDB">
        <w:rPr>
          <w:lang w:val="en-AU"/>
        </w:rPr>
        <w:t>e</w:t>
      </w:r>
      <w:r w:rsidR="00A91D57" w:rsidRPr="00560CDB">
        <w:rPr>
          <w:lang w:val="en-AU"/>
        </w:rPr>
        <w:t xml:space="preserve"> community beliefs about why disasters happen and the value (or otherwise) of preparedness. In addition, churches own and manage critical community assets such as schools, church buildings and storage facilities</w:t>
      </w:r>
      <w:r w:rsidR="00350EDD" w:rsidRPr="00560CDB">
        <w:rPr>
          <w:lang w:val="en-AU"/>
        </w:rPr>
        <w:t>,</w:t>
      </w:r>
      <w:r w:rsidR="00A91D57" w:rsidRPr="00560CDB">
        <w:rPr>
          <w:lang w:val="en-AU"/>
        </w:rPr>
        <w:t xml:space="preserve"> and therefore provide a foundation to build resilience and preparedness. Communities that understand hazards, mitigate risks and prepare for disasters are more able to effectively respond to and recover from disasters</w:t>
      </w:r>
      <w:r w:rsidR="00A91D57" w:rsidRPr="00560CDB">
        <w:rPr>
          <w:rStyle w:val="FootnoteReference"/>
          <w:lang w:val="en-AU"/>
        </w:rPr>
        <w:footnoteReference w:id="16"/>
      </w:r>
      <w:r w:rsidR="00A91D57" w:rsidRPr="00560CDB">
        <w:rPr>
          <w:lang w:val="en-AU"/>
        </w:rPr>
        <w:t xml:space="preserve">.  In the Pacific and </w:t>
      </w:r>
      <w:r w:rsidR="00F3172F" w:rsidRPr="00560CDB">
        <w:rPr>
          <w:lang w:val="en-AU"/>
        </w:rPr>
        <w:t>Timor-Leste</w:t>
      </w:r>
      <w:r w:rsidR="00A91D57" w:rsidRPr="00560CDB">
        <w:rPr>
          <w:lang w:val="en-AU"/>
        </w:rPr>
        <w:t>, NGOs have been instrumental in supporting communities to reduce risks and prepare for disasters in inclusive ways</w:t>
      </w:r>
      <w:r w:rsidR="00A91D57" w:rsidRPr="00560CDB">
        <w:rPr>
          <w:rStyle w:val="FootnoteReference"/>
          <w:lang w:val="en-AU"/>
        </w:rPr>
        <w:footnoteReference w:id="17"/>
      </w:r>
      <w:r w:rsidR="00A91D57" w:rsidRPr="00560CDB">
        <w:rPr>
          <w:lang w:val="en-AU"/>
        </w:rPr>
        <w:t>. Faith</w:t>
      </w:r>
      <w:r w:rsidR="00350EDD" w:rsidRPr="00560CDB">
        <w:rPr>
          <w:lang w:val="en-AU"/>
        </w:rPr>
        <w:t>-</w:t>
      </w:r>
      <w:r w:rsidR="00A91D57" w:rsidRPr="00560CDB">
        <w:rPr>
          <w:lang w:val="en-AU"/>
        </w:rPr>
        <w:t xml:space="preserve">based organisations have rallied frontline volunteer responders during disasters and they, together with local NGOs, are demanding a greater role in country humanitarian systems. </w:t>
      </w:r>
      <w:r w:rsidRPr="00560CDB">
        <w:rPr>
          <w:lang w:val="en-AU"/>
        </w:rPr>
        <w:br/>
      </w:r>
      <w:r w:rsidRPr="00560CDB">
        <w:rPr>
          <w:lang w:val="en-AU"/>
        </w:rPr>
        <w:br/>
      </w:r>
      <w:r w:rsidR="00A91D57" w:rsidRPr="00560CDB">
        <w:rPr>
          <w:lang w:val="en-AU"/>
        </w:rPr>
        <w:t>These regional, national and local responses are set against a global humanitarian backdrop that has shifted towards “localisation”</w:t>
      </w:r>
      <w:r w:rsidR="009C3687" w:rsidRPr="00560CDB">
        <w:rPr>
          <w:lang w:val="en-AU"/>
        </w:rPr>
        <w:t>:</w:t>
      </w:r>
      <w:r w:rsidR="00A91D57" w:rsidRPr="00560CDB">
        <w:rPr>
          <w:lang w:val="en-AU"/>
        </w:rPr>
        <w:t xml:space="preserve"> placing greater value on local responses to building resilience and preparedness for disasters. The 2016 World Humanitarian Summit </w:t>
      </w:r>
      <w:r w:rsidR="002110FF" w:rsidRPr="00560CDB">
        <w:rPr>
          <w:lang w:val="en-AU"/>
        </w:rPr>
        <w:t xml:space="preserve">(WHS) </w:t>
      </w:r>
      <w:r w:rsidR="00A91D57" w:rsidRPr="00560CDB">
        <w:rPr>
          <w:lang w:val="en-AU"/>
        </w:rPr>
        <w:t>reinforced the critical importance of local, inclusive and context</w:t>
      </w:r>
      <w:r w:rsidR="009C3687" w:rsidRPr="00560CDB">
        <w:rPr>
          <w:lang w:val="en-AU"/>
        </w:rPr>
        <w:t>-</w:t>
      </w:r>
      <w:r w:rsidR="00A91D57" w:rsidRPr="00560CDB">
        <w:rPr>
          <w:lang w:val="en-AU"/>
        </w:rPr>
        <w:t>specific approaches to humanitarian challenges</w:t>
      </w:r>
      <w:r w:rsidR="009C3687" w:rsidRPr="00560CDB">
        <w:rPr>
          <w:lang w:val="en-AU"/>
        </w:rPr>
        <w:t>,</w:t>
      </w:r>
      <w:r w:rsidR="00A91D57" w:rsidRPr="00560CDB">
        <w:rPr>
          <w:lang w:val="en-AU"/>
        </w:rPr>
        <w:t xml:space="preserve"> shifting the power from international actors</w:t>
      </w:r>
      <w:r w:rsidR="002110FF" w:rsidRPr="00560CDB">
        <w:rPr>
          <w:lang w:val="en-AU"/>
        </w:rPr>
        <w:t xml:space="preserve"> (</w:t>
      </w:r>
      <w:r w:rsidR="00A91D57" w:rsidRPr="00560CDB">
        <w:rPr>
          <w:lang w:val="en-AU"/>
        </w:rPr>
        <w:t>including INGOs, donors and the UN</w:t>
      </w:r>
      <w:r w:rsidR="002110FF" w:rsidRPr="00560CDB">
        <w:rPr>
          <w:lang w:val="en-AU"/>
        </w:rPr>
        <w:t>)</w:t>
      </w:r>
      <w:r w:rsidR="00A91D57" w:rsidRPr="00560CDB">
        <w:rPr>
          <w:lang w:val="en-AU"/>
        </w:rPr>
        <w:t xml:space="preserve"> to local ownership of humanitarian resources and decision</w:t>
      </w:r>
      <w:r w:rsidR="009C3687" w:rsidRPr="00560CDB">
        <w:rPr>
          <w:lang w:val="en-AU"/>
        </w:rPr>
        <w:t>-</w:t>
      </w:r>
      <w:r w:rsidR="00A91D57" w:rsidRPr="00560CDB">
        <w:rPr>
          <w:lang w:val="en-AU"/>
        </w:rPr>
        <w:t xml:space="preserve">making. </w:t>
      </w:r>
      <w:r w:rsidRPr="00560CDB">
        <w:rPr>
          <w:lang w:val="en-AU"/>
        </w:rPr>
        <w:br/>
      </w:r>
      <w:r w:rsidRPr="00560CDB">
        <w:rPr>
          <w:lang w:val="en-AU"/>
        </w:rPr>
        <w:br/>
      </w:r>
      <w:r w:rsidR="00A91D57" w:rsidRPr="00560CDB">
        <w:rPr>
          <w:lang w:val="en-AU"/>
        </w:rPr>
        <w:t>In the Pacific, localisation has been defined as “</w:t>
      </w:r>
      <w:r w:rsidR="00A91D57" w:rsidRPr="00560CDB">
        <w:rPr>
          <w:i/>
          <w:lang w:val="en-AU"/>
        </w:rPr>
        <w:t xml:space="preserve">the process of recognising, respecting and strengthening the independence of leadership and decision-making by national actors in humanitarian action, </w:t>
      </w:r>
      <w:proofErr w:type="gramStart"/>
      <w:r w:rsidR="00A91D57" w:rsidRPr="00560CDB">
        <w:rPr>
          <w:i/>
          <w:lang w:val="en-AU"/>
        </w:rPr>
        <w:t>in order to</w:t>
      </w:r>
      <w:proofErr w:type="gramEnd"/>
      <w:r w:rsidR="00A91D57" w:rsidRPr="00560CDB">
        <w:rPr>
          <w:i/>
          <w:lang w:val="en-AU"/>
        </w:rPr>
        <w:t xml:space="preserve"> better address the needs of the affected populations</w:t>
      </w:r>
      <w:r w:rsidR="00A91D57" w:rsidRPr="00560CDB">
        <w:rPr>
          <w:lang w:val="en-AU"/>
        </w:rPr>
        <w:t>”</w:t>
      </w:r>
      <w:r w:rsidR="00A91D57" w:rsidRPr="00560CDB">
        <w:rPr>
          <w:rStyle w:val="FootnoteReference"/>
          <w:lang w:val="en-AU"/>
        </w:rPr>
        <w:footnoteReference w:id="18"/>
      </w:r>
      <w:r w:rsidR="00A91D57" w:rsidRPr="00560CDB">
        <w:rPr>
          <w:lang w:val="en-AU"/>
        </w:rPr>
        <w:t>. This process requires a shift to greater engagement and control by national actors</w:t>
      </w:r>
      <w:r w:rsidR="002110FF" w:rsidRPr="00560CDB">
        <w:rPr>
          <w:lang w:val="en-AU"/>
        </w:rPr>
        <w:t xml:space="preserve"> – </w:t>
      </w:r>
      <w:r w:rsidR="00A91D57" w:rsidRPr="00560CDB">
        <w:rPr>
          <w:lang w:val="en-AU"/>
        </w:rPr>
        <w:t>government, local NGOs, faith</w:t>
      </w:r>
      <w:r w:rsidR="009C3687" w:rsidRPr="00560CDB">
        <w:rPr>
          <w:lang w:val="en-AU"/>
        </w:rPr>
        <w:t>-</w:t>
      </w:r>
      <w:r w:rsidR="00A91D57" w:rsidRPr="00560CDB">
        <w:rPr>
          <w:lang w:val="en-AU"/>
        </w:rPr>
        <w:t>based organisations, and the private sector</w:t>
      </w:r>
      <w:r w:rsidR="002110FF" w:rsidRPr="00560CDB">
        <w:rPr>
          <w:lang w:val="en-AU"/>
        </w:rPr>
        <w:t xml:space="preserve"> – </w:t>
      </w:r>
      <w:r w:rsidR="00A91D57" w:rsidRPr="00560CDB">
        <w:rPr>
          <w:lang w:val="en-AU"/>
        </w:rPr>
        <w:t>and a corresponding change in behavio</w:t>
      </w:r>
      <w:r w:rsidR="001A705F" w:rsidRPr="00560CDB">
        <w:rPr>
          <w:lang w:val="en-AU"/>
        </w:rPr>
        <w:t>u</w:t>
      </w:r>
      <w:r w:rsidR="00A91D57" w:rsidRPr="00560CDB">
        <w:rPr>
          <w:lang w:val="en-AU"/>
        </w:rPr>
        <w:t>r by international actors and organisations.  At one end of the spectrum, localisation can be interpreted as a form of decentralisation,</w:t>
      </w:r>
      <w:r w:rsidR="009C3687" w:rsidRPr="00560CDB">
        <w:rPr>
          <w:lang w:val="en-AU"/>
        </w:rPr>
        <w:t xml:space="preserve"> e.g. </w:t>
      </w:r>
      <w:r w:rsidR="00A91D57" w:rsidRPr="00560CDB">
        <w:rPr>
          <w:lang w:val="en-AU"/>
        </w:rPr>
        <w:t xml:space="preserve">from INGO headquarters to country offices often staffed and managed by local staff implementing both development and humanitarian activities. At the other end of the spectrum, </w:t>
      </w:r>
      <w:r w:rsidR="009C3687" w:rsidRPr="00560CDB">
        <w:rPr>
          <w:lang w:val="en-AU"/>
        </w:rPr>
        <w:t xml:space="preserve">it </w:t>
      </w:r>
      <w:r w:rsidR="00A91D57" w:rsidRPr="00560CDB">
        <w:rPr>
          <w:lang w:val="en-AU"/>
        </w:rPr>
        <w:t>is a more radical transformation where strategic, operational and financial decisions are made by national actors</w:t>
      </w:r>
      <w:r w:rsidR="002110FF" w:rsidRPr="00560CDB">
        <w:rPr>
          <w:lang w:val="en-AU"/>
        </w:rPr>
        <w:t>,</w:t>
      </w:r>
      <w:r w:rsidR="00A91D57" w:rsidRPr="00560CDB">
        <w:rPr>
          <w:lang w:val="en-AU"/>
        </w:rPr>
        <w:t xml:space="preserve"> </w:t>
      </w:r>
      <w:r w:rsidR="00A91D57" w:rsidRPr="00560CDB">
        <w:rPr>
          <w:lang w:val="en-AU"/>
        </w:rPr>
        <w:lastRenderedPageBreak/>
        <w:t>including national NGOs and faith</w:t>
      </w:r>
      <w:r w:rsidR="009C3687" w:rsidRPr="00560CDB">
        <w:rPr>
          <w:lang w:val="en-AU"/>
        </w:rPr>
        <w:t>-</w:t>
      </w:r>
      <w:r w:rsidR="00A91D57" w:rsidRPr="00560CDB">
        <w:rPr>
          <w:lang w:val="en-AU"/>
        </w:rPr>
        <w:t>based organisations</w:t>
      </w:r>
      <w:r w:rsidR="00A91D57" w:rsidRPr="00560CDB">
        <w:rPr>
          <w:rStyle w:val="FootnoteReference"/>
          <w:lang w:val="en-AU"/>
        </w:rPr>
        <w:footnoteReference w:id="19"/>
      </w:r>
      <w:r w:rsidR="00A91D57" w:rsidRPr="00560CDB">
        <w:rPr>
          <w:lang w:val="en-AU"/>
        </w:rPr>
        <w:t>. Localisation efforts in the Pacific and Timor</w:t>
      </w:r>
      <w:r w:rsidR="003B39C9" w:rsidRPr="00560CDB">
        <w:rPr>
          <w:lang w:val="en-AU"/>
        </w:rPr>
        <w:t>-</w:t>
      </w:r>
      <w:r w:rsidR="00A91D57" w:rsidRPr="00560CDB">
        <w:rPr>
          <w:lang w:val="en-AU"/>
        </w:rPr>
        <w:t>Leste span this spectrum</w:t>
      </w:r>
      <w:r w:rsidR="009C3687" w:rsidRPr="00560CDB">
        <w:rPr>
          <w:lang w:val="en-AU"/>
        </w:rPr>
        <w:t>,</w:t>
      </w:r>
      <w:r w:rsidR="00A91D57" w:rsidRPr="00560CDB">
        <w:rPr>
          <w:lang w:val="en-AU"/>
        </w:rPr>
        <w:t xml:space="preserve"> and localisation indicators are built into this Disaster READY design. </w:t>
      </w:r>
      <w:r w:rsidRPr="00560CDB">
        <w:rPr>
          <w:lang w:val="en-AU"/>
        </w:rPr>
        <w:br/>
      </w:r>
      <w:r w:rsidRPr="00560CDB">
        <w:rPr>
          <w:lang w:val="en-AU"/>
        </w:rPr>
        <w:br/>
      </w:r>
      <w:r w:rsidR="00A91D57" w:rsidRPr="00560CDB">
        <w:rPr>
          <w:lang w:val="en-AU"/>
        </w:rPr>
        <w:t>AHP NGOs have demonstrated their commitment to the localisation agenda, including through this design process. The Disaster READY design process has laid the foundation for ongoing collaboration between NGOs at the country level, strengthening their ability to set the direction and coordinate with DFAT Posts, and with national and local governments.</w:t>
      </w:r>
      <w:r w:rsidR="00A91D57" w:rsidRPr="00394C86">
        <w:rPr>
          <w:lang w:val="en-AU"/>
        </w:rPr>
        <w:t xml:space="preserve"> </w:t>
      </w:r>
      <w:r w:rsidR="00B32A20" w:rsidRPr="00394C86">
        <w:rPr>
          <w:lang w:val="en-AU"/>
        </w:rPr>
        <w:t>DFAT and</w:t>
      </w:r>
      <w:r w:rsidR="00A91D57" w:rsidRPr="00AE1B0B">
        <w:rPr>
          <w:lang w:val="en-AU"/>
        </w:rPr>
        <w:t xml:space="preserve"> AHP NGOs headquartered in Australia have set the overarching framework and strategic direction, whilst the implementation strategies have been designed at the country level, in collaboration with DFAT Post</w:t>
      </w:r>
      <w:r w:rsidR="00677616" w:rsidRPr="00AE1B0B">
        <w:rPr>
          <w:lang w:val="en-AU"/>
        </w:rPr>
        <w:t>s</w:t>
      </w:r>
      <w:r w:rsidR="00A91D57" w:rsidRPr="00AE1B0B">
        <w:rPr>
          <w:lang w:val="en-AU"/>
        </w:rPr>
        <w:t>, national governments, and local NGOs (including DPOs). DFAT and AHP NGOs are committed to continuing a strengthened approach to country</w:t>
      </w:r>
      <w:r w:rsidR="009C3687" w:rsidRPr="00AE1B0B">
        <w:rPr>
          <w:lang w:val="en-AU"/>
        </w:rPr>
        <w:t>-</w:t>
      </w:r>
      <w:r w:rsidR="00A91D57" w:rsidRPr="00AE1B0B">
        <w:rPr>
          <w:lang w:val="en-AU"/>
        </w:rPr>
        <w:t>driven implementation and collaboration, as evidenced through the country plans and NGO country</w:t>
      </w:r>
      <w:r w:rsidR="009C3687" w:rsidRPr="00AE1B0B">
        <w:rPr>
          <w:lang w:val="en-AU"/>
        </w:rPr>
        <w:t>-</w:t>
      </w:r>
      <w:r w:rsidR="00A91D57" w:rsidRPr="00AE1B0B">
        <w:rPr>
          <w:lang w:val="en-AU"/>
        </w:rPr>
        <w:t xml:space="preserve">level </w:t>
      </w:r>
      <w:r w:rsidR="006C3457" w:rsidRPr="00AE1B0B">
        <w:rPr>
          <w:lang w:val="en-AU"/>
        </w:rPr>
        <w:t xml:space="preserve">activity plans </w:t>
      </w:r>
      <w:r w:rsidR="00A91D57" w:rsidRPr="00AE1B0B">
        <w:rPr>
          <w:lang w:val="en-AU"/>
        </w:rPr>
        <w:t xml:space="preserve">(annexed to this overarching </w:t>
      </w:r>
      <w:r w:rsidR="006C3457" w:rsidRPr="00AE1B0B">
        <w:rPr>
          <w:lang w:val="en-AU"/>
        </w:rPr>
        <w:t>framework</w:t>
      </w:r>
      <w:r w:rsidR="00A91D57" w:rsidRPr="00AE1B0B">
        <w:rPr>
          <w:lang w:val="en-AU"/>
        </w:rPr>
        <w:t xml:space="preserve">) and </w:t>
      </w:r>
      <w:r w:rsidR="00636BD0" w:rsidRPr="00AE1B0B">
        <w:rPr>
          <w:lang w:val="en-AU"/>
        </w:rPr>
        <w:t xml:space="preserve">a </w:t>
      </w:r>
      <w:r w:rsidR="00A91D57" w:rsidRPr="00AE1B0B">
        <w:rPr>
          <w:lang w:val="en-AU"/>
        </w:rPr>
        <w:t xml:space="preserve">governance structure that includes </w:t>
      </w:r>
      <w:r w:rsidR="009D0B2B" w:rsidRPr="00AE1B0B">
        <w:rPr>
          <w:lang w:val="en-AU"/>
        </w:rPr>
        <w:t>Country Committee</w:t>
      </w:r>
      <w:r w:rsidR="00A91D57" w:rsidRPr="00AE1B0B">
        <w:rPr>
          <w:lang w:val="en-AU"/>
        </w:rPr>
        <w:t xml:space="preserve">s.  </w:t>
      </w:r>
      <w:r w:rsidRPr="00394C86">
        <w:rPr>
          <w:lang w:val="en-AU"/>
        </w:rPr>
        <w:br/>
      </w:r>
    </w:p>
    <w:p w14:paraId="700EF3EA" w14:textId="3B8489BB" w:rsidR="008B2140" w:rsidRPr="00394C86" w:rsidRDefault="008B2140" w:rsidP="008C1169">
      <w:pPr>
        <w:pStyle w:val="Heading2"/>
        <w:rPr>
          <w:rFonts w:ascii="Calibri" w:hAnsi="Calibri" w:cs="Calibri"/>
          <w:lang w:val="en-AU"/>
        </w:rPr>
      </w:pPr>
      <w:bookmarkStart w:id="8" w:name="_Toc501451659"/>
      <w:r w:rsidRPr="00394C86">
        <w:rPr>
          <w:rFonts w:ascii="Calibri" w:hAnsi="Calibri" w:cs="Calibri"/>
          <w:lang w:val="en-AU"/>
        </w:rPr>
        <w:t xml:space="preserve">Development </w:t>
      </w:r>
      <w:r w:rsidR="00B9309E" w:rsidRPr="00394C86">
        <w:rPr>
          <w:rFonts w:ascii="Calibri" w:hAnsi="Calibri" w:cs="Calibri"/>
          <w:lang w:val="en-AU"/>
        </w:rPr>
        <w:t>P</w:t>
      </w:r>
      <w:r w:rsidRPr="00394C86">
        <w:rPr>
          <w:rFonts w:ascii="Calibri" w:hAnsi="Calibri" w:cs="Calibri"/>
          <w:lang w:val="en-AU"/>
        </w:rPr>
        <w:t>roblem</w:t>
      </w:r>
      <w:r w:rsidR="006D4406" w:rsidRPr="00394C86">
        <w:rPr>
          <w:rFonts w:ascii="Calibri" w:hAnsi="Calibri" w:cs="Calibri"/>
          <w:lang w:val="en-AU"/>
        </w:rPr>
        <w:t xml:space="preserve"> and </w:t>
      </w:r>
      <w:r w:rsidR="00B9309E" w:rsidRPr="00394C86">
        <w:rPr>
          <w:rFonts w:ascii="Calibri" w:hAnsi="Calibri" w:cs="Calibri"/>
          <w:lang w:val="en-AU"/>
        </w:rPr>
        <w:t>I</w:t>
      </w:r>
      <w:r w:rsidRPr="00394C86">
        <w:rPr>
          <w:rFonts w:ascii="Calibri" w:hAnsi="Calibri" w:cs="Calibri"/>
          <w:lang w:val="en-AU"/>
        </w:rPr>
        <w:t xml:space="preserve">ssue </w:t>
      </w:r>
      <w:r w:rsidR="00B9309E" w:rsidRPr="00394C86">
        <w:rPr>
          <w:rFonts w:ascii="Calibri" w:hAnsi="Calibri" w:cs="Calibri"/>
          <w:lang w:val="en-AU"/>
        </w:rPr>
        <w:t>A</w:t>
      </w:r>
      <w:r w:rsidRPr="00394C86">
        <w:rPr>
          <w:rFonts w:ascii="Calibri" w:hAnsi="Calibri" w:cs="Calibri"/>
          <w:lang w:val="en-AU"/>
        </w:rPr>
        <w:t>nalysis</w:t>
      </w:r>
      <w:bookmarkEnd w:id="8"/>
    </w:p>
    <w:p w14:paraId="4C7E7AF0" w14:textId="524BFEA8" w:rsidR="00202A16" w:rsidRPr="00AE1B0B" w:rsidRDefault="00202A16" w:rsidP="00202A16">
      <w:pPr>
        <w:spacing w:after="120" w:line="276" w:lineRule="auto"/>
        <w:rPr>
          <w:lang w:val="en-AU"/>
        </w:rPr>
      </w:pPr>
      <w:r w:rsidRPr="00AE1B0B">
        <w:rPr>
          <w:lang w:val="en-AU"/>
        </w:rPr>
        <w:t>Natural disasters reverse development gains through loss of life</w:t>
      </w:r>
      <w:r w:rsidR="00636BD0" w:rsidRPr="00AE1B0B">
        <w:rPr>
          <w:lang w:val="en-AU"/>
        </w:rPr>
        <w:t xml:space="preserve"> and</w:t>
      </w:r>
      <w:r w:rsidRPr="00AE1B0B">
        <w:rPr>
          <w:lang w:val="en-AU"/>
        </w:rPr>
        <w:t xml:space="preserve"> trauma</w:t>
      </w:r>
      <w:r w:rsidR="00636BD0" w:rsidRPr="00AE1B0B">
        <w:rPr>
          <w:lang w:val="en-AU"/>
        </w:rPr>
        <w:t xml:space="preserve"> as well as through</w:t>
      </w:r>
      <w:r w:rsidR="000028E1" w:rsidRPr="00AE1B0B">
        <w:rPr>
          <w:lang w:val="en-AU"/>
        </w:rPr>
        <w:t xml:space="preserve"> </w:t>
      </w:r>
      <w:r w:rsidRPr="00AE1B0B">
        <w:rPr>
          <w:lang w:val="en-AU"/>
        </w:rPr>
        <w:t xml:space="preserve">loss of housing, schools, hospitals, roads and other infrastructure. Disasters can cause significant dislocation of populations, contribute to conflict and entrench poverty. </w:t>
      </w:r>
      <w:r w:rsidR="002A4368" w:rsidRPr="00AE1B0B">
        <w:rPr>
          <w:lang w:val="en-AU"/>
        </w:rPr>
        <w:t xml:space="preserve">Climate change is increasing the frequency and intensity of disasters such as cyclones, floods and droughts. </w:t>
      </w:r>
      <w:r w:rsidRPr="00AE1B0B">
        <w:rPr>
          <w:lang w:val="en-AU"/>
        </w:rPr>
        <w:t>In the Pacific and Timor</w:t>
      </w:r>
      <w:r w:rsidR="003B39C9" w:rsidRPr="00AE1B0B">
        <w:rPr>
          <w:lang w:val="en-AU"/>
        </w:rPr>
        <w:t>-</w:t>
      </w:r>
      <w:r w:rsidRPr="00AE1B0B">
        <w:rPr>
          <w:lang w:val="en-AU"/>
        </w:rPr>
        <w:t>Leste, the range and frequency of natural hazards, combined with weak systems for disaster preparedness, risk mitigation</w:t>
      </w:r>
      <w:r w:rsidR="00D83E9C" w:rsidRPr="00AE1B0B">
        <w:rPr>
          <w:lang w:val="en-AU"/>
        </w:rPr>
        <w:t xml:space="preserve"> </w:t>
      </w:r>
      <w:r w:rsidRPr="00AE1B0B">
        <w:rPr>
          <w:lang w:val="en-AU"/>
        </w:rPr>
        <w:t>and response</w:t>
      </w:r>
      <w:r w:rsidR="00D83E9C" w:rsidRPr="00AE1B0B">
        <w:rPr>
          <w:lang w:val="en-AU"/>
        </w:rPr>
        <w:t>,</w:t>
      </w:r>
      <w:r w:rsidRPr="00AE1B0B">
        <w:rPr>
          <w:lang w:val="en-AU"/>
        </w:rPr>
        <w:t xml:space="preserve"> undermine development gains. For example, Cyclone Winston affected the livelihoods of more than 60</w:t>
      </w:r>
      <w:r w:rsidR="00804F32" w:rsidRPr="00AE1B0B">
        <w:rPr>
          <w:lang w:val="en-AU"/>
        </w:rPr>
        <w:t xml:space="preserve"> per</w:t>
      </w:r>
      <w:r w:rsidR="00D83E9C" w:rsidRPr="00AE1B0B">
        <w:rPr>
          <w:lang w:val="en-AU"/>
        </w:rPr>
        <w:t xml:space="preserve"> </w:t>
      </w:r>
      <w:r w:rsidR="00804F32" w:rsidRPr="00AE1B0B">
        <w:rPr>
          <w:lang w:val="en-AU"/>
        </w:rPr>
        <w:t>cent</w:t>
      </w:r>
      <w:r w:rsidRPr="00AE1B0B">
        <w:rPr>
          <w:lang w:val="en-AU"/>
        </w:rPr>
        <w:t xml:space="preserve"> of Fiji’s total population, destroyed or damaged 30,000 homes and 495 schools, and caused damage estimated at US</w:t>
      </w:r>
      <w:r w:rsidR="00D83E9C" w:rsidRPr="00AE1B0B">
        <w:rPr>
          <w:lang w:val="en-AU"/>
        </w:rPr>
        <w:t>$</w:t>
      </w:r>
      <w:r w:rsidRPr="00AE1B0B">
        <w:rPr>
          <w:lang w:val="en-AU"/>
        </w:rPr>
        <w:t>1.3bn (</w:t>
      </w:r>
      <w:r w:rsidR="004249C9" w:rsidRPr="00AE1B0B">
        <w:rPr>
          <w:lang w:val="en-AU"/>
        </w:rPr>
        <w:t>$</w:t>
      </w:r>
      <w:r w:rsidRPr="00AE1B0B">
        <w:rPr>
          <w:lang w:val="en-AU"/>
        </w:rPr>
        <w:t>1.7bn)</w:t>
      </w:r>
      <w:r w:rsidRPr="00AE1B0B">
        <w:rPr>
          <w:rStyle w:val="FootnoteReference"/>
          <w:lang w:val="en-AU"/>
        </w:rPr>
        <w:footnoteReference w:id="20"/>
      </w:r>
      <w:r w:rsidRPr="00AE1B0B">
        <w:rPr>
          <w:lang w:val="en-AU"/>
        </w:rPr>
        <w:t>. The protracted El Niño</w:t>
      </w:r>
      <w:r w:rsidR="00D83E9C" w:rsidRPr="00AE1B0B">
        <w:rPr>
          <w:lang w:val="en-AU"/>
        </w:rPr>
        <w:t>-</w:t>
      </w:r>
      <w:r w:rsidRPr="00AE1B0B">
        <w:rPr>
          <w:lang w:val="en-AU"/>
        </w:rPr>
        <w:t>related drought in 2015</w:t>
      </w:r>
      <w:r w:rsidR="00636BD0" w:rsidRPr="00AE1B0B">
        <w:rPr>
          <w:lang w:val="en-AU"/>
        </w:rPr>
        <w:t>–</w:t>
      </w:r>
      <w:r w:rsidRPr="00AE1B0B">
        <w:rPr>
          <w:lang w:val="en-AU"/>
        </w:rPr>
        <w:t>16 has had long</w:t>
      </w:r>
      <w:r w:rsidR="00D83E9C" w:rsidRPr="00AE1B0B">
        <w:rPr>
          <w:lang w:val="en-AU"/>
        </w:rPr>
        <w:t>-</w:t>
      </w:r>
      <w:r w:rsidRPr="00AE1B0B">
        <w:rPr>
          <w:lang w:val="en-AU"/>
        </w:rPr>
        <w:t>term impacts in Timor</w:t>
      </w:r>
      <w:r w:rsidR="003B39C9" w:rsidRPr="00AE1B0B">
        <w:rPr>
          <w:lang w:val="en-AU"/>
        </w:rPr>
        <w:t>-</w:t>
      </w:r>
      <w:r w:rsidRPr="00AE1B0B">
        <w:rPr>
          <w:lang w:val="en-AU"/>
        </w:rPr>
        <w:t>Leste. Crop failures, livestock deaths, water scarcity and food insecurity affected 120,000 people</w:t>
      </w:r>
      <w:r w:rsidR="00D83E9C" w:rsidRPr="00AE1B0B">
        <w:rPr>
          <w:lang w:val="en-AU"/>
        </w:rPr>
        <w:t>,</w:t>
      </w:r>
      <w:r w:rsidRPr="00AE1B0B">
        <w:rPr>
          <w:lang w:val="en-AU"/>
        </w:rPr>
        <w:t xml:space="preserve"> and one year on</w:t>
      </w:r>
      <w:r w:rsidR="00D83E9C" w:rsidRPr="00AE1B0B">
        <w:rPr>
          <w:lang w:val="en-AU"/>
        </w:rPr>
        <w:t>,</w:t>
      </w:r>
      <w:r w:rsidRPr="00AE1B0B">
        <w:rPr>
          <w:lang w:val="en-AU"/>
        </w:rPr>
        <w:t xml:space="preserve"> research shows </w:t>
      </w:r>
      <w:r w:rsidR="00D83E9C" w:rsidRPr="00AE1B0B">
        <w:rPr>
          <w:lang w:val="en-AU"/>
        </w:rPr>
        <w:t xml:space="preserve">that </w:t>
      </w:r>
      <w:r w:rsidRPr="00AE1B0B">
        <w:rPr>
          <w:lang w:val="en-AU"/>
        </w:rPr>
        <w:t>67</w:t>
      </w:r>
      <w:r w:rsidR="00804F32" w:rsidRPr="00AE1B0B">
        <w:rPr>
          <w:lang w:val="en-AU"/>
        </w:rPr>
        <w:t xml:space="preserve"> per</w:t>
      </w:r>
      <w:r w:rsidR="00D83E9C" w:rsidRPr="00AE1B0B">
        <w:rPr>
          <w:lang w:val="en-AU"/>
        </w:rPr>
        <w:t xml:space="preserve"> </w:t>
      </w:r>
      <w:r w:rsidR="00804F32" w:rsidRPr="00AE1B0B">
        <w:rPr>
          <w:lang w:val="en-AU"/>
        </w:rPr>
        <w:t>cent</w:t>
      </w:r>
      <w:r w:rsidRPr="00AE1B0B">
        <w:rPr>
          <w:lang w:val="en-AU"/>
        </w:rPr>
        <w:t xml:space="preserve"> of drought</w:t>
      </w:r>
      <w:r w:rsidR="00D83E9C" w:rsidRPr="00AE1B0B">
        <w:rPr>
          <w:lang w:val="en-AU"/>
        </w:rPr>
        <w:t>-</w:t>
      </w:r>
      <w:r w:rsidRPr="00AE1B0B">
        <w:rPr>
          <w:lang w:val="en-AU"/>
        </w:rPr>
        <w:t>affected households continue to implement negative coping measures such as reducing meal portion sizes and using household savings</w:t>
      </w:r>
      <w:r w:rsidRPr="00AE1B0B">
        <w:rPr>
          <w:rStyle w:val="FootnoteReference"/>
          <w:lang w:val="en-AU"/>
        </w:rPr>
        <w:footnoteReference w:id="21"/>
      </w:r>
      <w:r w:rsidRPr="00AE1B0B">
        <w:rPr>
          <w:lang w:val="en-AU"/>
        </w:rPr>
        <w:t>.</w:t>
      </w:r>
      <w:r w:rsidR="00A540AE" w:rsidRPr="00AE1B0B">
        <w:rPr>
          <w:lang w:val="en-AU"/>
        </w:rPr>
        <w:br/>
      </w:r>
      <w:r w:rsidR="00A540AE" w:rsidRPr="00AE1B0B">
        <w:rPr>
          <w:lang w:val="en-AU"/>
        </w:rPr>
        <w:br/>
      </w:r>
      <w:r w:rsidRPr="00AE1B0B">
        <w:rPr>
          <w:lang w:val="en-AU"/>
        </w:rPr>
        <w:t>Investments in DRR can result in less damage and loss when a disaster strikes, reduce the cost and improve the timeliness of a response, and accelerate recovery</w:t>
      </w:r>
      <w:r w:rsidRPr="00AE1B0B">
        <w:rPr>
          <w:rStyle w:val="FootnoteReference"/>
          <w:lang w:val="en-AU"/>
        </w:rPr>
        <w:footnoteReference w:id="22"/>
      </w:r>
      <w:r w:rsidRPr="00AE1B0B">
        <w:rPr>
          <w:lang w:val="en-AU"/>
        </w:rPr>
        <w:t xml:space="preserve">. Despite the evidence and global policy </w:t>
      </w:r>
      <w:r w:rsidRPr="00AE1B0B">
        <w:rPr>
          <w:lang w:val="en-AU"/>
        </w:rPr>
        <w:lastRenderedPageBreak/>
        <w:t xml:space="preserve">commitments to DRR, such as the Sendai and Hyogo Frameworks, attention and resources of the humanitarian system tend to be prioritised </w:t>
      </w:r>
      <w:r w:rsidR="000028E1" w:rsidRPr="00AE1B0B">
        <w:rPr>
          <w:lang w:val="en-AU"/>
        </w:rPr>
        <w:t xml:space="preserve">towards </w:t>
      </w:r>
      <w:r w:rsidRPr="00AE1B0B">
        <w:rPr>
          <w:lang w:val="en-AU"/>
        </w:rPr>
        <w:t>short</w:t>
      </w:r>
      <w:r w:rsidR="00D83E9C" w:rsidRPr="00AE1B0B">
        <w:rPr>
          <w:lang w:val="en-AU"/>
        </w:rPr>
        <w:t>-</w:t>
      </w:r>
      <w:r w:rsidRPr="00AE1B0B">
        <w:rPr>
          <w:lang w:val="en-AU"/>
        </w:rPr>
        <w:t>term</w:t>
      </w:r>
      <w:r w:rsidR="000028E1" w:rsidRPr="00AE1B0B">
        <w:rPr>
          <w:lang w:val="en-AU"/>
        </w:rPr>
        <w:t>,</w:t>
      </w:r>
      <w:r w:rsidRPr="00AE1B0B">
        <w:rPr>
          <w:lang w:val="en-AU"/>
        </w:rPr>
        <w:t xml:space="preserve"> life-saving responses to rapid</w:t>
      </w:r>
      <w:r w:rsidR="00D83E9C" w:rsidRPr="00AE1B0B">
        <w:rPr>
          <w:lang w:val="en-AU"/>
        </w:rPr>
        <w:t>-</w:t>
      </w:r>
      <w:r w:rsidRPr="00AE1B0B">
        <w:rPr>
          <w:lang w:val="en-AU"/>
        </w:rPr>
        <w:t xml:space="preserve">onset disasters rather than </w:t>
      </w:r>
      <w:r w:rsidR="000028E1" w:rsidRPr="00AE1B0B">
        <w:rPr>
          <w:lang w:val="en-AU"/>
        </w:rPr>
        <w:t xml:space="preserve">towards </w:t>
      </w:r>
      <w:r w:rsidRPr="00AE1B0B">
        <w:rPr>
          <w:lang w:val="en-AU"/>
        </w:rPr>
        <w:t xml:space="preserve">DRR. </w:t>
      </w:r>
      <w:r w:rsidR="0025665D" w:rsidRPr="00AE1B0B">
        <w:rPr>
          <w:lang w:val="en-AU"/>
        </w:rPr>
        <w:t>There are also o</w:t>
      </w:r>
      <w:r w:rsidRPr="00AE1B0B">
        <w:rPr>
          <w:lang w:val="en-AU"/>
        </w:rPr>
        <w:t xml:space="preserve">ther challenges confronting a </w:t>
      </w:r>
      <w:r w:rsidR="00D83E9C" w:rsidRPr="00AE1B0B">
        <w:rPr>
          <w:lang w:val="en-AU"/>
        </w:rPr>
        <w:t>‘</w:t>
      </w:r>
      <w:r w:rsidRPr="00AE1B0B">
        <w:rPr>
          <w:lang w:val="en-AU"/>
        </w:rPr>
        <w:t>building resilience</w:t>
      </w:r>
      <w:r w:rsidR="00D83E9C" w:rsidRPr="00AE1B0B">
        <w:rPr>
          <w:lang w:val="en-AU"/>
        </w:rPr>
        <w:t>’</w:t>
      </w:r>
      <w:r w:rsidRPr="00AE1B0B">
        <w:rPr>
          <w:lang w:val="en-AU"/>
        </w:rPr>
        <w:t xml:space="preserve"> approach:</w:t>
      </w:r>
    </w:p>
    <w:p w14:paraId="2B3F1CCF" w14:textId="6908EEEA" w:rsidR="00202A16" w:rsidRPr="00AE1B0B" w:rsidRDefault="00885F6B" w:rsidP="00202A16">
      <w:pPr>
        <w:pStyle w:val="ListParagraph"/>
        <w:numPr>
          <w:ilvl w:val="0"/>
          <w:numId w:val="33"/>
        </w:numPr>
        <w:spacing w:before="120" w:after="120" w:line="276" w:lineRule="auto"/>
      </w:pPr>
      <w:r w:rsidRPr="00AE1B0B">
        <w:t>d</w:t>
      </w:r>
      <w:r w:rsidR="00202A16" w:rsidRPr="00AE1B0B">
        <w:t xml:space="preserve">isaster management agencies in the Pacific and </w:t>
      </w:r>
      <w:r w:rsidR="00F3172F" w:rsidRPr="00AE1B0B">
        <w:t>Timor-Leste</w:t>
      </w:r>
      <w:r w:rsidR="00202A16" w:rsidRPr="00AE1B0B">
        <w:t xml:space="preserve"> </w:t>
      </w:r>
      <w:r w:rsidR="0025665D" w:rsidRPr="00AE1B0B">
        <w:t xml:space="preserve">are </w:t>
      </w:r>
      <w:r w:rsidR="00202A16" w:rsidRPr="00AE1B0B">
        <w:t>siloed from other government departments and hav</w:t>
      </w:r>
      <w:r w:rsidR="0025665D" w:rsidRPr="00AE1B0B">
        <w:t>e</w:t>
      </w:r>
      <w:r w:rsidR="00202A16" w:rsidRPr="00AE1B0B">
        <w:t xml:space="preserve"> relatively low status and funding; </w:t>
      </w:r>
    </w:p>
    <w:p w14:paraId="2F40FFF3" w14:textId="651D508D" w:rsidR="00202A16" w:rsidRPr="00AE1B0B" w:rsidRDefault="00885F6B" w:rsidP="00202A16">
      <w:pPr>
        <w:pStyle w:val="ListParagraph"/>
        <w:numPr>
          <w:ilvl w:val="0"/>
          <w:numId w:val="33"/>
        </w:numPr>
        <w:spacing w:before="120" w:after="120" w:line="276" w:lineRule="auto"/>
      </w:pPr>
      <w:r w:rsidRPr="00AE1B0B">
        <w:t>t</w:t>
      </w:r>
      <w:r w:rsidR="00202A16" w:rsidRPr="00AE1B0B">
        <w:t xml:space="preserve">here is limited use of information about disaster and climate risks which undermines the ability to plan effectively; </w:t>
      </w:r>
    </w:p>
    <w:p w14:paraId="6BA7E371" w14:textId="28766F59" w:rsidR="00202A16" w:rsidRPr="00AE1B0B" w:rsidRDefault="00885F6B" w:rsidP="00202A16">
      <w:pPr>
        <w:pStyle w:val="ListParagraph"/>
        <w:numPr>
          <w:ilvl w:val="0"/>
          <w:numId w:val="33"/>
        </w:numPr>
        <w:spacing w:before="120" w:after="120" w:line="276" w:lineRule="auto"/>
      </w:pPr>
      <w:r w:rsidRPr="00AE1B0B">
        <w:t>t</w:t>
      </w:r>
      <w:r w:rsidR="00202A16" w:rsidRPr="00AE1B0B">
        <w:t xml:space="preserve">here is a lack of accessible and contextualised early warning systems; </w:t>
      </w:r>
    </w:p>
    <w:p w14:paraId="22CD61E9" w14:textId="16C27A07" w:rsidR="00202A16" w:rsidRPr="00AE1B0B" w:rsidRDefault="00885F6B" w:rsidP="00202A16">
      <w:pPr>
        <w:pStyle w:val="ListParagraph"/>
        <w:numPr>
          <w:ilvl w:val="0"/>
          <w:numId w:val="33"/>
        </w:numPr>
        <w:spacing w:before="120" w:after="120" w:line="276" w:lineRule="auto"/>
      </w:pPr>
      <w:r w:rsidRPr="00AE1B0B">
        <w:t>h</w:t>
      </w:r>
      <w:r w:rsidR="00202A16" w:rsidRPr="00AE1B0B">
        <w:t>umanitarian mechanisms are not well</w:t>
      </w:r>
      <w:r w:rsidR="003C1B57" w:rsidRPr="00AE1B0B">
        <w:t>-</w:t>
      </w:r>
      <w:r w:rsidR="00202A16" w:rsidRPr="00AE1B0B">
        <w:t>connected with communities, local civil society organisations and churches</w:t>
      </w:r>
      <w:r w:rsidR="00804F32" w:rsidRPr="00AE1B0B">
        <w:t>;</w:t>
      </w:r>
      <w:r w:rsidR="00202A16" w:rsidRPr="00AE1B0B">
        <w:t xml:space="preserve"> and</w:t>
      </w:r>
    </w:p>
    <w:p w14:paraId="3C31E4DD" w14:textId="64C43798" w:rsidR="00202A16" w:rsidRPr="00AE1B0B" w:rsidRDefault="00885F6B" w:rsidP="00202A16">
      <w:pPr>
        <w:pStyle w:val="ListParagraph"/>
        <w:numPr>
          <w:ilvl w:val="0"/>
          <w:numId w:val="33"/>
        </w:numPr>
        <w:spacing w:before="120" w:after="120" w:line="276" w:lineRule="auto"/>
      </w:pPr>
      <w:r w:rsidRPr="00AE1B0B">
        <w:t>t</w:t>
      </w:r>
      <w:r w:rsidR="00202A16" w:rsidRPr="00AE1B0B">
        <w:t xml:space="preserve">here is a disconnect between national policies, systems and resources and the operational reality at sub-national government and community levels. </w:t>
      </w:r>
    </w:p>
    <w:p w14:paraId="4E227097" w14:textId="5AF84BCE" w:rsidR="000C0164" w:rsidRPr="00AE1B0B" w:rsidRDefault="000C0164" w:rsidP="00202A16">
      <w:pPr>
        <w:spacing w:after="120" w:line="276" w:lineRule="auto"/>
        <w:rPr>
          <w:lang w:val="en-AU"/>
        </w:rPr>
      </w:pPr>
      <w:r w:rsidRPr="00AE1B0B">
        <w:rPr>
          <w:lang w:val="en-AU"/>
        </w:rPr>
        <w:br/>
      </w:r>
      <w:r w:rsidR="00202A16" w:rsidRPr="00AE1B0B">
        <w:rPr>
          <w:lang w:val="en-AU"/>
        </w:rPr>
        <w:t>The experience of women, children</w:t>
      </w:r>
      <w:r w:rsidR="003C1B57" w:rsidRPr="00AE1B0B">
        <w:rPr>
          <w:lang w:val="en-AU"/>
        </w:rPr>
        <w:t>,</w:t>
      </w:r>
      <w:r w:rsidR="00202A16" w:rsidRPr="00AE1B0B">
        <w:rPr>
          <w:lang w:val="en-AU"/>
        </w:rPr>
        <w:t xml:space="preserve"> and </w:t>
      </w:r>
      <w:r w:rsidR="001A17F9" w:rsidRPr="00AE1B0B">
        <w:rPr>
          <w:lang w:val="en-AU"/>
        </w:rPr>
        <w:t>people with disabilities</w:t>
      </w:r>
      <w:r w:rsidR="00202A16" w:rsidRPr="00AE1B0B">
        <w:rPr>
          <w:lang w:val="en-AU"/>
        </w:rPr>
        <w:t xml:space="preserve"> is particularly stark; supply</w:t>
      </w:r>
      <w:r w:rsidR="003C1B57" w:rsidRPr="00AE1B0B">
        <w:rPr>
          <w:lang w:val="en-AU"/>
        </w:rPr>
        <w:t>-</w:t>
      </w:r>
      <w:r w:rsidR="00202A16" w:rsidRPr="00AE1B0B">
        <w:rPr>
          <w:lang w:val="en-AU"/>
        </w:rPr>
        <w:t xml:space="preserve">driven humanitarian responses often fail to meet their specific needs, </w:t>
      </w:r>
      <w:r w:rsidR="003C1B57" w:rsidRPr="00AE1B0B">
        <w:rPr>
          <w:lang w:val="en-AU"/>
        </w:rPr>
        <w:t>e.g.</w:t>
      </w:r>
      <w:r w:rsidR="00202A16" w:rsidRPr="00AE1B0B">
        <w:rPr>
          <w:lang w:val="en-AU"/>
        </w:rPr>
        <w:t xml:space="preserve"> safety from violence or physically accessible shelter.</w:t>
      </w:r>
      <w:r w:rsidRPr="00AE1B0B">
        <w:rPr>
          <w:lang w:val="en-AU"/>
        </w:rPr>
        <w:br/>
      </w:r>
      <w:r w:rsidRPr="00AE1B0B">
        <w:rPr>
          <w:lang w:val="en-AU"/>
        </w:rPr>
        <w:br/>
      </w:r>
      <w:r w:rsidR="00202A16" w:rsidRPr="00AE1B0B">
        <w:rPr>
          <w:lang w:val="en-AU"/>
        </w:rPr>
        <w:t>Disaster READY addresses these development challenges by supporting communities to understand slow</w:t>
      </w:r>
      <w:r w:rsidR="003C1B57" w:rsidRPr="00AE1B0B">
        <w:rPr>
          <w:lang w:val="en-AU"/>
        </w:rPr>
        <w:t>-</w:t>
      </w:r>
      <w:r w:rsidR="00202A16" w:rsidRPr="00AE1B0B">
        <w:rPr>
          <w:lang w:val="en-AU"/>
        </w:rPr>
        <w:t xml:space="preserve"> and rapid</w:t>
      </w:r>
      <w:r w:rsidR="003C1B57" w:rsidRPr="00AE1B0B">
        <w:rPr>
          <w:lang w:val="en-AU"/>
        </w:rPr>
        <w:t>-</w:t>
      </w:r>
      <w:r w:rsidR="00202A16" w:rsidRPr="00AE1B0B">
        <w:rPr>
          <w:lang w:val="en-AU"/>
        </w:rPr>
        <w:t xml:space="preserve">onset disaster risks, </w:t>
      </w:r>
      <w:r w:rsidR="003C1B57" w:rsidRPr="00AE1B0B">
        <w:rPr>
          <w:lang w:val="en-AU"/>
        </w:rPr>
        <w:t xml:space="preserve">to </w:t>
      </w:r>
      <w:r w:rsidR="00202A16" w:rsidRPr="00AE1B0B">
        <w:rPr>
          <w:lang w:val="en-AU"/>
        </w:rPr>
        <w:t>prepare for the</w:t>
      </w:r>
      <w:r w:rsidR="003C1B57" w:rsidRPr="00AE1B0B">
        <w:rPr>
          <w:lang w:val="en-AU"/>
        </w:rPr>
        <w:t>se risks,</w:t>
      </w:r>
      <w:r w:rsidR="00202A16" w:rsidRPr="00AE1B0B">
        <w:rPr>
          <w:lang w:val="en-AU"/>
        </w:rPr>
        <w:t xml:space="preserve"> and </w:t>
      </w:r>
      <w:r w:rsidR="003C1B57" w:rsidRPr="00AE1B0B">
        <w:rPr>
          <w:lang w:val="en-AU"/>
        </w:rPr>
        <w:t xml:space="preserve">to </w:t>
      </w:r>
      <w:r w:rsidR="00202A16" w:rsidRPr="00AE1B0B">
        <w:rPr>
          <w:lang w:val="en-AU"/>
        </w:rPr>
        <w:t xml:space="preserve">reduce </w:t>
      </w:r>
      <w:r w:rsidR="003C1B57" w:rsidRPr="00AE1B0B">
        <w:rPr>
          <w:lang w:val="en-AU"/>
        </w:rPr>
        <w:t xml:space="preserve">the </w:t>
      </w:r>
      <w:r w:rsidR="00202A16" w:rsidRPr="00AE1B0B">
        <w:rPr>
          <w:lang w:val="en-AU"/>
        </w:rPr>
        <w:t xml:space="preserve">risks where possible. The program will support women, </w:t>
      </w:r>
      <w:r w:rsidR="001A17F9" w:rsidRPr="00AE1B0B">
        <w:rPr>
          <w:lang w:val="en-AU"/>
        </w:rPr>
        <w:t>people with disabilities</w:t>
      </w:r>
      <w:r w:rsidR="00202A16" w:rsidRPr="00AE1B0B">
        <w:rPr>
          <w:lang w:val="en-AU"/>
        </w:rPr>
        <w:t>, youth and children to have their needs recognised and met through community, sub</w:t>
      </w:r>
      <w:r w:rsidR="00A3620E" w:rsidRPr="00AE1B0B">
        <w:rPr>
          <w:lang w:val="en-AU"/>
        </w:rPr>
        <w:t>-</w:t>
      </w:r>
      <w:r w:rsidR="00202A16" w:rsidRPr="00AE1B0B">
        <w:rPr>
          <w:lang w:val="en-AU"/>
        </w:rPr>
        <w:t>national and national mechanisms for disaster preparedness and response. NGOs will engage with communities and sub</w:t>
      </w:r>
      <w:r w:rsidR="00A3620E" w:rsidRPr="00AE1B0B">
        <w:rPr>
          <w:lang w:val="en-AU"/>
        </w:rPr>
        <w:t>-</w:t>
      </w:r>
      <w:r w:rsidR="00202A16" w:rsidRPr="00AE1B0B">
        <w:rPr>
          <w:lang w:val="en-AU"/>
        </w:rPr>
        <w:t xml:space="preserve">national and national disaster management structures to improve coordination and government responsiveness to community needs </w:t>
      </w:r>
      <w:r w:rsidR="0025665D" w:rsidRPr="00AE1B0B">
        <w:rPr>
          <w:lang w:val="en-AU"/>
        </w:rPr>
        <w:t xml:space="preserve">as well as </w:t>
      </w:r>
      <w:r w:rsidR="00202A16" w:rsidRPr="00AE1B0B">
        <w:rPr>
          <w:lang w:val="en-AU"/>
        </w:rPr>
        <w:t>to strengthen the leadership and influence of national actors in the humanitarian system. The program goes some way to addressing the increased vulnerabilities created by climate change. For example, in Timor</w:t>
      </w:r>
      <w:r w:rsidR="003B39C9" w:rsidRPr="00AE1B0B">
        <w:rPr>
          <w:lang w:val="en-AU"/>
        </w:rPr>
        <w:t>-</w:t>
      </w:r>
      <w:r w:rsidR="00202A16" w:rsidRPr="00AE1B0B">
        <w:rPr>
          <w:lang w:val="en-AU"/>
        </w:rPr>
        <w:t>Leste the program will address increasing water scarcity, which in 2015/16 contributed to the El Niño</w:t>
      </w:r>
      <w:r w:rsidR="001A26A2" w:rsidRPr="00AE1B0B">
        <w:rPr>
          <w:lang w:val="en-AU"/>
        </w:rPr>
        <w:t>-</w:t>
      </w:r>
      <w:r w:rsidR="00202A16" w:rsidRPr="00AE1B0B">
        <w:rPr>
          <w:lang w:val="en-AU"/>
        </w:rPr>
        <w:t xml:space="preserve">related drought. </w:t>
      </w:r>
    </w:p>
    <w:p w14:paraId="4429BFFC" w14:textId="77777777" w:rsidR="0025665D" w:rsidRPr="00AE1B0B" w:rsidRDefault="0025665D" w:rsidP="00202A16">
      <w:pPr>
        <w:spacing w:after="120" w:line="276" w:lineRule="auto"/>
        <w:rPr>
          <w:lang w:val="en-AU"/>
        </w:rPr>
      </w:pPr>
    </w:p>
    <w:p w14:paraId="6DC23D8E" w14:textId="3719D5E1" w:rsidR="008B2140" w:rsidRPr="00394C86" w:rsidRDefault="008B2140" w:rsidP="008C1169">
      <w:pPr>
        <w:pStyle w:val="Heading2"/>
        <w:rPr>
          <w:rFonts w:ascii="Calibri" w:hAnsi="Calibri" w:cs="Calibri"/>
          <w:lang w:val="en-AU"/>
        </w:rPr>
      </w:pPr>
      <w:bookmarkStart w:id="9" w:name="_Toc501451660"/>
      <w:r w:rsidRPr="00394C86">
        <w:rPr>
          <w:rFonts w:ascii="Calibri" w:hAnsi="Calibri" w:cs="Calibri"/>
          <w:lang w:val="en-AU"/>
        </w:rPr>
        <w:t xml:space="preserve">Evidence </w:t>
      </w:r>
      <w:r w:rsidR="00B9309E" w:rsidRPr="00394C86">
        <w:rPr>
          <w:rFonts w:ascii="Calibri" w:hAnsi="Calibri" w:cs="Calibri"/>
          <w:lang w:val="en-AU"/>
        </w:rPr>
        <w:t>B</w:t>
      </w:r>
      <w:r w:rsidRPr="00394C86">
        <w:rPr>
          <w:rFonts w:ascii="Calibri" w:hAnsi="Calibri" w:cs="Calibri"/>
          <w:lang w:val="en-AU"/>
        </w:rPr>
        <w:t>ase</w:t>
      </w:r>
      <w:r w:rsidR="001853A1" w:rsidRPr="00394C86">
        <w:rPr>
          <w:rFonts w:ascii="Calibri" w:hAnsi="Calibri" w:cs="Calibri"/>
          <w:lang w:val="en-AU"/>
        </w:rPr>
        <w:t xml:space="preserve"> and </w:t>
      </w:r>
      <w:r w:rsidR="00B9309E" w:rsidRPr="00394C86">
        <w:rPr>
          <w:rFonts w:ascii="Calibri" w:hAnsi="Calibri" w:cs="Calibri"/>
          <w:lang w:val="en-AU"/>
        </w:rPr>
        <w:t>L</w:t>
      </w:r>
      <w:r w:rsidRPr="00394C86">
        <w:rPr>
          <w:rFonts w:ascii="Calibri" w:hAnsi="Calibri" w:cs="Calibri"/>
          <w:lang w:val="en-AU"/>
        </w:rPr>
        <w:t>essons</w:t>
      </w:r>
      <w:bookmarkEnd w:id="9"/>
    </w:p>
    <w:p w14:paraId="2FF89B6A" w14:textId="7CE40033" w:rsidR="00B4604B" w:rsidRPr="00A048D6" w:rsidRDefault="00B4604B" w:rsidP="00AE1B0B">
      <w:pPr>
        <w:spacing w:after="120" w:line="276" w:lineRule="auto"/>
        <w:rPr>
          <w:lang w:val="en-AU"/>
        </w:rPr>
      </w:pPr>
      <w:bookmarkStart w:id="10" w:name="_Hlk499035129"/>
      <w:r w:rsidRPr="00AE1B0B">
        <w:rPr>
          <w:lang w:val="en-AU"/>
        </w:rPr>
        <w:t>The Disaster READY design is evidence-based. Source evidence has included major country</w:t>
      </w:r>
      <w:r w:rsidR="002B4B9E" w:rsidRPr="00AE1B0B">
        <w:rPr>
          <w:lang w:val="en-AU"/>
        </w:rPr>
        <w:t>-</w:t>
      </w:r>
      <w:r w:rsidRPr="00AE1B0B">
        <w:rPr>
          <w:lang w:val="en-AU"/>
        </w:rPr>
        <w:t>specific</w:t>
      </w:r>
      <w:r w:rsidR="00231F6A" w:rsidRPr="00AE1B0B">
        <w:rPr>
          <w:lang w:val="en-AU"/>
        </w:rPr>
        <w:t xml:space="preserve"> disaster reports</w:t>
      </w:r>
      <w:r w:rsidRPr="00AE1B0B">
        <w:rPr>
          <w:lang w:val="en-AU"/>
        </w:rPr>
        <w:t>, regional and global disaster reports, and evaluations from a wide range of disaster responses, DRR programs, and climate change adapt</w:t>
      </w:r>
      <w:r w:rsidR="0025665D" w:rsidRPr="00AE1B0B">
        <w:rPr>
          <w:lang w:val="en-AU"/>
        </w:rPr>
        <w:t>at</w:t>
      </w:r>
      <w:r w:rsidRPr="00AE1B0B">
        <w:rPr>
          <w:lang w:val="en-AU"/>
        </w:rPr>
        <w:t>ion</w:t>
      </w:r>
      <w:r w:rsidR="0025665D" w:rsidRPr="00AE1B0B">
        <w:rPr>
          <w:lang w:val="en-AU"/>
        </w:rPr>
        <w:t xml:space="preserve"> (CCA)</w:t>
      </w:r>
      <w:r w:rsidRPr="00AE1B0B">
        <w:rPr>
          <w:lang w:val="en-AU"/>
        </w:rPr>
        <w:t xml:space="preserve"> programs in the Pacific and Timor</w:t>
      </w:r>
      <w:r w:rsidR="003B39C9" w:rsidRPr="00AE1B0B">
        <w:rPr>
          <w:lang w:val="en-AU"/>
        </w:rPr>
        <w:t>-</w:t>
      </w:r>
      <w:r w:rsidRPr="00AE1B0B">
        <w:rPr>
          <w:lang w:val="en-AU"/>
        </w:rPr>
        <w:t>Leste over the past 10 years</w:t>
      </w:r>
      <w:r w:rsidRPr="00AE1B0B">
        <w:rPr>
          <w:rStyle w:val="FootnoteReference"/>
          <w:lang w:val="en-AU"/>
        </w:rPr>
        <w:footnoteReference w:id="23"/>
      </w:r>
      <w:r w:rsidRPr="00AE1B0B">
        <w:rPr>
          <w:lang w:val="en-AU"/>
        </w:rPr>
        <w:t>. The methodology included mapping of current DRR, climate</w:t>
      </w:r>
      <w:r w:rsidR="00231F6A" w:rsidRPr="00AE1B0B">
        <w:rPr>
          <w:lang w:val="en-AU"/>
        </w:rPr>
        <w:t xml:space="preserve"> </w:t>
      </w:r>
      <w:r w:rsidRPr="00AE1B0B">
        <w:rPr>
          <w:lang w:val="en-AU"/>
        </w:rPr>
        <w:t>and resilience programs to identify potential points of intersection with Disaster READY</w:t>
      </w:r>
      <w:r w:rsidR="00887AC2" w:rsidRPr="00AE1B0B">
        <w:rPr>
          <w:lang w:val="en-AU"/>
        </w:rPr>
        <w:t xml:space="preserve">, </w:t>
      </w:r>
      <w:r w:rsidR="00231F6A" w:rsidRPr="00AE1B0B">
        <w:rPr>
          <w:lang w:val="en-AU"/>
        </w:rPr>
        <w:t xml:space="preserve">e.g. </w:t>
      </w:r>
      <w:r w:rsidR="00887AC2" w:rsidRPr="00AE1B0B">
        <w:rPr>
          <w:lang w:val="en-AU"/>
        </w:rPr>
        <w:t xml:space="preserve">with </w:t>
      </w:r>
      <w:r w:rsidR="00AA2736" w:rsidRPr="00AE1B0B">
        <w:rPr>
          <w:lang w:val="en-AU"/>
        </w:rPr>
        <w:t xml:space="preserve">regional climate </w:t>
      </w:r>
      <w:r w:rsidR="00AA2736" w:rsidRPr="00AE1B0B">
        <w:rPr>
          <w:lang w:val="en-AU"/>
        </w:rPr>
        <w:lastRenderedPageBreak/>
        <w:t xml:space="preserve">change programs </w:t>
      </w:r>
      <w:r w:rsidR="00887AC2" w:rsidRPr="00AE1B0B">
        <w:rPr>
          <w:lang w:val="en-AU"/>
        </w:rPr>
        <w:t>and the UNDP Pacific Resilience</w:t>
      </w:r>
      <w:r w:rsidR="00AA2736" w:rsidRPr="00AE1B0B">
        <w:rPr>
          <w:lang w:val="en-AU"/>
        </w:rPr>
        <w:t xml:space="preserve"> Program</w:t>
      </w:r>
      <w:r w:rsidR="00AA2736" w:rsidRPr="00AE1B0B">
        <w:rPr>
          <w:rStyle w:val="FootnoteReference"/>
          <w:lang w:val="en-AU"/>
        </w:rPr>
        <w:footnoteReference w:id="24"/>
      </w:r>
      <w:r w:rsidR="007C6B5A" w:rsidRPr="00AE1B0B">
        <w:rPr>
          <w:lang w:val="en-AU"/>
        </w:rPr>
        <w:t xml:space="preserve">. These lessons have </w:t>
      </w:r>
      <w:r w:rsidRPr="00AE1B0B">
        <w:rPr>
          <w:lang w:val="en-AU"/>
        </w:rPr>
        <w:t xml:space="preserve">informed </w:t>
      </w:r>
      <w:r w:rsidR="007C6B5A" w:rsidRPr="00AE1B0B">
        <w:rPr>
          <w:lang w:val="en-AU"/>
        </w:rPr>
        <w:t xml:space="preserve">the </w:t>
      </w:r>
      <w:r w:rsidRPr="00AE1B0B">
        <w:rPr>
          <w:lang w:val="en-AU"/>
        </w:rPr>
        <w:t>country plans</w:t>
      </w:r>
      <w:r w:rsidR="007C6B5A" w:rsidRPr="00AE1B0B">
        <w:rPr>
          <w:lang w:val="en-AU"/>
        </w:rPr>
        <w:t xml:space="preserve"> and NGO </w:t>
      </w:r>
      <w:r w:rsidR="00FB33AB" w:rsidRPr="00AE1B0B">
        <w:rPr>
          <w:lang w:val="en-AU"/>
        </w:rPr>
        <w:t>activity plans</w:t>
      </w:r>
      <w:r w:rsidRPr="00AE1B0B">
        <w:rPr>
          <w:lang w:val="en-AU"/>
        </w:rPr>
        <w:t xml:space="preserve">.  Eight key lessons were drawn from the evidence. These were tested and endorsed with a wide range of country stakeholders involved in the Disaster READY design. </w:t>
      </w:r>
      <w:r w:rsidR="000C0164" w:rsidRPr="00AE1B0B">
        <w:rPr>
          <w:lang w:val="en-AU"/>
        </w:rPr>
        <w:br/>
      </w:r>
      <w:r w:rsidR="000C0164" w:rsidRPr="00AE1B0B">
        <w:rPr>
          <w:lang w:val="en-AU"/>
        </w:rPr>
        <w:br/>
      </w:r>
      <w:r w:rsidRPr="00AE1B0B">
        <w:rPr>
          <w:lang w:val="en-AU"/>
        </w:rPr>
        <w:t xml:space="preserve">The key eight lessons, and how they have informed this program design, are summarised in the table below. Country </w:t>
      </w:r>
      <w:r w:rsidR="00804F32" w:rsidRPr="00AE1B0B">
        <w:rPr>
          <w:lang w:val="en-AU"/>
        </w:rPr>
        <w:t>p</w:t>
      </w:r>
      <w:r w:rsidRPr="00AE1B0B">
        <w:rPr>
          <w:lang w:val="en-AU"/>
        </w:rPr>
        <w:t>lans include more detailed discussion of evidence and lessons in each focus country.</w:t>
      </w:r>
      <w:r w:rsidR="000C0164" w:rsidRPr="00394C86">
        <w:rPr>
          <w:lang w:val="en-AU"/>
        </w:rPr>
        <w:br/>
      </w:r>
      <w:r w:rsidR="000C0164" w:rsidRPr="00394C86">
        <w:rPr>
          <w:lang w:val="en-AU"/>
        </w:rPr>
        <w:br/>
      </w:r>
      <w:bookmarkEnd w:id="10"/>
      <w:r w:rsidRPr="00A048D6">
        <w:rPr>
          <w:lang w:val="en-AU"/>
        </w:rPr>
        <w:t xml:space="preserve">Table </w:t>
      </w:r>
      <w:r w:rsidRPr="00A048D6">
        <w:rPr>
          <w:lang w:val="en-AU"/>
        </w:rPr>
        <w:fldChar w:fldCharType="begin"/>
      </w:r>
      <w:r w:rsidRPr="00A048D6">
        <w:rPr>
          <w:lang w:val="en-AU"/>
        </w:rPr>
        <w:instrText xml:space="preserve"> SEQ Table \* ARABIC </w:instrText>
      </w:r>
      <w:r w:rsidRPr="00A048D6">
        <w:rPr>
          <w:lang w:val="en-AU"/>
        </w:rPr>
        <w:fldChar w:fldCharType="separate"/>
      </w:r>
      <w:r w:rsidR="00797A9B">
        <w:rPr>
          <w:noProof/>
          <w:lang w:val="en-AU"/>
        </w:rPr>
        <w:t>1</w:t>
      </w:r>
      <w:r w:rsidRPr="00A048D6">
        <w:rPr>
          <w:lang w:val="en-AU"/>
        </w:rPr>
        <w:fldChar w:fldCharType="end"/>
      </w:r>
      <w:r w:rsidRPr="00A048D6">
        <w:rPr>
          <w:lang w:val="en-AU"/>
        </w:rPr>
        <w:t>: Eight Key Lessons from evidence</w:t>
      </w:r>
    </w:p>
    <w:tbl>
      <w:tblPr>
        <w:tblStyle w:val="ListTable4-Accent51"/>
        <w:tblW w:w="9918" w:type="dxa"/>
        <w:tblLook w:val="04A0" w:firstRow="1" w:lastRow="0" w:firstColumn="1" w:lastColumn="0" w:noHBand="0" w:noVBand="1"/>
      </w:tblPr>
      <w:tblGrid>
        <w:gridCol w:w="4673"/>
        <w:gridCol w:w="5245"/>
      </w:tblGrid>
      <w:tr w:rsidR="000C0164" w:rsidRPr="00656F60" w14:paraId="56985026" w14:textId="77777777" w:rsidTr="00CF78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F6F07BF" w14:textId="77777777" w:rsidR="00B4604B" w:rsidRPr="00AE1B0B" w:rsidRDefault="00B4604B" w:rsidP="00CF7895">
            <w:pPr>
              <w:spacing w:after="120" w:line="276" w:lineRule="auto"/>
              <w:rPr>
                <w:color w:val="auto"/>
                <w:lang w:val="en-AU"/>
              </w:rPr>
            </w:pPr>
            <w:r w:rsidRPr="00656F60">
              <w:rPr>
                <w:lang w:val="en-AU"/>
              </w:rPr>
              <w:t>Lesson</w:t>
            </w:r>
          </w:p>
        </w:tc>
        <w:tc>
          <w:tcPr>
            <w:tcW w:w="5245" w:type="dxa"/>
          </w:tcPr>
          <w:p w14:paraId="11892D37" w14:textId="77777777" w:rsidR="00B4604B" w:rsidRPr="00AE1B0B" w:rsidRDefault="00B4604B" w:rsidP="00CF7895">
            <w:pPr>
              <w:spacing w:after="120" w:line="276" w:lineRule="auto"/>
              <w:cnfStyle w:val="100000000000" w:firstRow="1" w:lastRow="0" w:firstColumn="0" w:lastColumn="0" w:oddVBand="0" w:evenVBand="0" w:oddHBand="0" w:evenHBand="0" w:firstRowFirstColumn="0" w:firstRowLastColumn="0" w:lastRowFirstColumn="0" w:lastRowLastColumn="0"/>
              <w:rPr>
                <w:color w:val="auto"/>
                <w:lang w:val="en-AU"/>
              </w:rPr>
            </w:pPr>
            <w:r w:rsidRPr="00656F60">
              <w:rPr>
                <w:lang w:val="en-AU"/>
              </w:rPr>
              <w:t>How this is applied in the design</w:t>
            </w:r>
          </w:p>
        </w:tc>
      </w:tr>
      <w:tr w:rsidR="000C0164" w:rsidRPr="00656F60" w14:paraId="117E1B44" w14:textId="77777777" w:rsidTr="00CF7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C47B259" w14:textId="77777777" w:rsidR="00B4604B" w:rsidRPr="00AE1B0B" w:rsidRDefault="00B4604B" w:rsidP="00CF7895">
            <w:pPr>
              <w:pStyle w:val="ListParagraph"/>
              <w:numPr>
                <w:ilvl w:val="0"/>
                <w:numId w:val="1"/>
              </w:numPr>
              <w:spacing w:before="120" w:after="120" w:line="276" w:lineRule="auto"/>
              <w:ind w:right="317"/>
            </w:pPr>
            <w:r w:rsidRPr="00AE1B0B">
              <w:t>Be context relevant</w:t>
            </w:r>
          </w:p>
          <w:p w14:paraId="5591D36D" w14:textId="77777777" w:rsidR="00B4604B" w:rsidRPr="00941B92" w:rsidRDefault="00B4604B" w:rsidP="00CF7895">
            <w:pPr>
              <w:pStyle w:val="ListParagraph"/>
              <w:numPr>
                <w:ilvl w:val="0"/>
                <w:numId w:val="3"/>
              </w:numPr>
              <w:spacing w:before="120" w:after="120" w:line="276" w:lineRule="auto"/>
              <w:ind w:right="317"/>
              <w:rPr>
                <w:b w:val="0"/>
              </w:rPr>
            </w:pPr>
            <w:r w:rsidRPr="00941B92">
              <w:rPr>
                <w:b w:val="0"/>
              </w:rPr>
              <w:t>Ensure programs are relevant to country development strategies and priorities</w:t>
            </w:r>
          </w:p>
        </w:tc>
        <w:tc>
          <w:tcPr>
            <w:tcW w:w="5245" w:type="dxa"/>
          </w:tcPr>
          <w:p w14:paraId="5668E74B" w14:textId="580DDDED" w:rsidR="00B4604B" w:rsidRPr="00AE1B0B" w:rsidRDefault="00B4604B" w:rsidP="00CF7895">
            <w:pPr>
              <w:spacing w:after="120" w:line="276" w:lineRule="auto"/>
              <w:cnfStyle w:val="000000100000" w:firstRow="0" w:lastRow="0" w:firstColumn="0" w:lastColumn="0" w:oddVBand="0" w:evenVBand="0" w:oddHBand="1" w:evenHBand="0" w:firstRowFirstColumn="0" w:firstRowLastColumn="0" w:lastRowFirstColumn="0" w:lastRowLastColumn="0"/>
              <w:rPr>
                <w:lang w:val="en-AU"/>
              </w:rPr>
            </w:pPr>
            <w:r w:rsidRPr="00AE1B0B">
              <w:rPr>
                <w:lang w:val="en-AU"/>
              </w:rPr>
              <w:t>Primary focus during the design has been to facilitate country stakeholders (including NGOs, national disaster management offices</w:t>
            </w:r>
            <w:r w:rsidR="00A03C77" w:rsidRPr="00AE1B0B">
              <w:rPr>
                <w:lang w:val="en-AU"/>
              </w:rPr>
              <w:t xml:space="preserve"> (NDMOs)</w:t>
            </w:r>
            <w:r w:rsidRPr="00AE1B0B">
              <w:rPr>
                <w:lang w:val="en-AU"/>
              </w:rPr>
              <w:t>, DFAT Post, etc</w:t>
            </w:r>
            <w:r w:rsidR="00804F32" w:rsidRPr="00AE1B0B">
              <w:rPr>
                <w:lang w:val="en-AU"/>
              </w:rPr>
              <w:t>.</w:t>
            </w:r>
            <w:r w:rsidRPr="00AE1B0B">
              <w:rPr>
                <w:lang w:val="en-AU"/>
              </w:rPr>
              <w:t>) to develop realistic outcomes, indicators and management arrangements for the program</w:t>
            </w:r>
            <w:r w:rsidR="00231A11" w:rsidRPr="00AE1B0B">
              <w:rPr>
                <w:lang w:val="en-AU"/>
              </w:rPr>
              <w:t xml:space="preserve"> that are based on community consultation and needs</w:t>
            </w:r>
            <w:r w:rsidRPr="00AE1B0B">
              <w:rPr>
                <w:lang w:val="en-AU"/>
              </w:rPr>
              <w:t>.</w:t>
            </w:r>
          </w:p>
        </w:tc>
      </w:tr>
      <w:tr w:rsidR="000C0164" w:rsidRPr="00656F60" w14:paraId="417E1960" w14:textId="77777777" w:rsidTr="00CF7895">
        <w:trPr>
          <w:trHeight w:val="2313"/>
        </w:trPr>
        <w:tc>
          <w:tcPr>
            <w:cnfStyle w:val="001000000000" w:firstRow="0" w:lastRow="0" w:firstColumn="1" w:lastColumn="0" w:oddVBand="0" w:evenVBand="0" w:oddHBand="0" w:evenHBand="0" w:firstRowFirstColumn="0" w:firstRowLastColumn="0" w:lastRowFirstColumn="0" w:lastRowLastColumn="0"/>
            <w:tcW w:w="4673" w:type="dxa"/>
          </w:tcPr>
          <w:p w14:paraId="2DE8AC36" w14:textId="77777777" w:rsidR="00B4604B" w:rsidRPr="00AE1B0B" w:rsidRDefault="00B4604B" w:rsidP="00CF7895">
            <w:pPr>
              <w:pStyle w:val="ListParagraph"/>
              <w:numPr>
                <w:ilvl w:val="0"/>
                <w:numId w:val="1"/>
              </w:numPr>
              <w:spacing w:before="120" w:after="120" w:line="276" w:lineRule="auto"/>
              <w:ind w:right="317"/>
            </w:pPr>
            <w:r w:rsidRPr="00AE1B0B">
              <w:t>Simplify</w:t>
            </w:r>
          </w:p>
          <w:p w14:paraId="52236969" w14:textId="77777777" w:rsidR="00B4604B" w:rsidRPr="00941B92" w:rsidRDefault="00B4604B" w:rsidP="00CF7895">
            <w:pPr>
              <w:pStyle w:val="ListParagraph"/>
              <w:numPr>
                <w:ilvl w:val="0"/>
                <w:numId w:val="3"/>
              </w:numPr>
              <w:spacing w:before="120" w:after="120" w:line="276" w:lineRule="auto"/>
              <w:ind w:right="317"/>
              <w:rPr>
                <w:b w:val="0"/>
              </w:rPr>
            </w:pPr>
            <w:r w:rsidRPr="00941B92">
              <w:rPr>
                <w:b w:val="0"/>
              </w:rPr>
              <w:t>NGO project objectives and outcomes were too numerous and complex. There was a need to simplify designs and have a more focused approach</w:t>
            </w:r>
          </w:p>
          <w:p w14:paraId="338FBA29" w14:textId="77777777" w:rsidR="00B4604B" w:rsidRPr="00AE1B0B" w:rsidRDefault="00B4604B" w:rsidP="00CF7895">
            <w:pPr>
              <w:spacing w:after="120" w:line="276" w:lineRule="auto"/>
              <w:ind w:right="317"/>
              <w:rPr>
                <w:bCs w:val="0"/>
                <w:lang w:val="en-AU"/>
              </w:rPr>
            </w:pPr>
          </w:p>
          <w:p w14:paraId="2BE588A5" w14:textId="77777777" w:rsidR="00B4604B" w:rsidRPr="00AE1B0B" w:rsidRDefault="00B4604B" w:rsidP="00CF7895">
            <w:pPr>
              <w:spacing w:after="120" w:line="276" w:lineRule="auto"/>
              <w:ind w:right="317"/>
              <w:rPr>
                <w:bCs w:val="0"/>
                <w:lang w:val="en-AU" w:eastAsia="en-US"/>
              </w:rPr>
            </w:pPr>
            <w:r w:rsidRPr="00AE1B0B">
              <w:rPr>
                <w:lang w:val="en-AU"/>
              </w:rPr>
              <w:t xml:space="preserve"> </w:t>
            </w:r>
          </w:p>
        </w:tc>
        <w:tc>
          <w:tcPr>
            <w:tcW w:w="5245" w:type="dxa"/>
          </w:tcPr>
          <w:p w14:paraId="1FB7DBF0" w14:textId="1F6EDD5E" w:rsidR="00B4604B" w:rsidRPr="00AE1B0B" w:rsidRDefault="00B4604B" w:rsidP="00CF7895">
            <w:pPr>
              <w:spacing w:after="120" w:line="276" w:lineRule="auto"/>
              <w:cnfStyle w:val="000000000000" w:firstRow="0" w:lastRow="0" w:firstColumn="0" w:lastColumn="0" w:oddVBand="0" w:evenVBand="0" w:oddHBand="0" w:evenHBand="0" w:firstRowFirstColumn="0" w:firstRowLastColumn="0" w:lastRowFirstColumn="0" w:lastRowLastColumn="0"/>
              <w:rPr>
                <w:lang w:val="en-AU"/>
              </w:rPr>
            </w:pPr>
            <w:r w:rsidRPr="00AE1B0B">
              <w:rPr>
                <w:lang w:val="en-AU"/>
              </w:rPr>
              <w:t>A core set of outcomes and indicators that apply across the program ha</w:t>
            </w:r>
            <w:r w:rsidR="00A03C77" w:rsidRPr="00AE1B0B">
              <w:rPr>
                <w:lang w:val="en-AU"/>
              </w:rPr>
              <w:t>s</w:t>
            </w:r>
            <w:r w:rsidRPr="00AE1B0B">
              <w:rPr>
                <w:lang w:val="en-AU"/>
              </w:rPr>
              <w:t xml:space="preserve"> been identified following country consultations. NGOs have identified which of these are relevant for their work that they will monitor and report on.</w:t>
            </w:r>
          </w:p>
          <w:p w14:paraId="6B7D504A" w14:textId="77777777" w:rsidR="00B4604B" w:rsidRPr="00AE1B0B" w:rsidRDefault="00B4604B" w:rsidP="00CF7895">
            <w:pPr>
              <w:spacing w:after="120" w:line="276" w:lineRule="auto"/>
              <w:cnfStyle w:val="000000000000" w:firstRow="0" w:lastRow="0" w:firstColumn="0" w:lastColumn="0" w:oddVBand="0" w:evenVBand="0" w:oddHBand="0" w:evenHBand="0" w:firstRowFirstColumn="0" w:firstRowLastColumn="0" w:lastRowFirstColumn="0" w:lastRowLastColumn="0"/>
              <w:rPr>
                <w:lang w:val="en-AU"/>
              </w:rPr>
            </w:pPr>
            <w:r w:rsidRPr="00AE1B0B">
              <w:rPr>
                <w:lang w:val="en-AU"/>
              </w:rPr>
              <w:t>NGO designs have been reviewed by technical specialists and peer reviewed by other NGOs to ensure their work is realistic and focused.</w:t>
            </w:r>
          </w:p>
        </w:tc>
      </w:tr>
      <w:tr w:rsidR="000C0164" w:rsidRPr="00656F60" w14:paraId="10248F49" w14:textId="77777777" w:rsidTr="00CF7895">
        <w:trPr>
          <w:cnfStyle w:val="000000100000" w:firstRow="0" w:lastRow="0" w:firstColumn="0" w:lastColumn="0" w:oddVBand="0" w:evenVBand="0" w:oddHBand="1" w:evenHBand="0" w:firstRowFirstColumn="0" w:firstRowLastColumn="0" w:lastRowFirstColumn="0" w:lastRowLastColumn="0"/>
          <w:trHeight w:val="3100"/>
        </w:trPr>
        <w:tc>
          <w:tcPr>
            <w:cnfStyle w:val="001000000000" w:firstRow="0" w:lastRow="0" w:firstColumn="1" w:lastColumn="0" w:oddVBand="0" w:evenVBand="0" w:oddHBand="0" w:evenHBand="0" w:firstRowFirstColumn="0" w:firstRowLastColumn="0" w:lastRowFirstColumn="0" w:lastRowLastColumn="0"/>
            <w:tcW w:w="4673" w:type="dxa"/>
          </w:tcPr>
          <w:p w14:paraId="1DA04055" w14:textId="77777777" w:rsidR="00B4604B" w:rsidRPr="00AE1B0B" w:rsidRDefault="00B4604B" w:rsidP="00CF7895">
            <w:pPr>
              <w:pStyle w:val="ListParagraph"/>
              <w:numPr>
                <w:ilvl w:val="0"/>
                <w:numId w:val="1"/>
              </w:numPr>
              <w:spacing w:before="120" w:after="120" w:line="276" w:lineRule="auto"/>
              <w:ind w:right="317"/>
            </w:pPr>
            <w:r w:rsidRPr="00AE1B0B">
              <w:t>Start right</w:t>
            </w:r>
          </w:p>
          <w:p w14:paraId="27D0C928" w14:textId="77777777" w:rsidR="00B4604B" w:rsidRPr="00941B92" w:rsidRDefault="00B4604B" w:rsidP="00CF7895">
            <w:pPr>
              <w:pStyle w:val="ListParagraph"/>
              <w:numPr>
                <w:ilvl w:val="0"/>
                <w:numId w:val="3"/>
              </w:numPr>
              <w:spacing w:before="120" w:after="120" w:line="276" w:lineRule="auto"/>
              <w:ind w:right="317"/>
              <w:rPr>
                <w:b w:val="0"/>
              </w:rPr>
            </w:pPr>
            <w:r w:rsidRPr="00941B92">
              <w:rPr>
                <w:b w:val="0"/>
              </w:rPr>
              <w:t>Rigorous project design is essential to guide management, implementation and monitoring</w:t>
            </w:r>
          </w:p>
          <w:p w14:paraId="0FC1D9ED" w14:textId="7B2F316B" w:rsidR="00B4604B" w:rsidRPr="00941B92" w:rsidRDefault="00B4604B" w:rsidP="00CF7895">
            <w:pPr>
              <w:pStyle w:val="ListParagraph"/>
              <w:numPr>
                <w:ilvl w:val="0"/>
                <w:numId w:val="3"/>
              </w:numPr>
              <w:spacing w:before="120" w:after="120" w:line="276" w:lineRule="auto"/>
              <w:ind w:right="317"/>
              <w:rPr>
                <w:b w:val="0"/>
              </w:rPr>
            </w:pPr>
            <w:r w:rsidRPr="00941B92">
              <w:rPr>
                <w:b w:val="0"/>
              </w:rPr>
              <w:t>Building on existing NGO networks and partnerships ha</w:t>
            </w:r>
            <w:r w:rsidR="00231F6A" w:rsidRPr="00941B92">
              <w:rPr>
                <w:b w:val="0"/>
              </w:rPr>
              <w:t>s</w:t>
            </w:r>
            <w:r w:rsidRPr="00941B92">
              <w:rPr>
                <w:b w:val="0"/>
              </w:rPr>
              <w:t xml:space="preserve"> enabled NGO projects to be effective and provide value for money</w:t>
            </w:r>
          </w:p>
          <w:p w14:paraId="1AD21D23" w14:textId="77777777" w:rsidR="00B4604B" w:rsidRPr="00AE1B0B" w:rsidRDefault="00B4604B" w:rsidP="00CF7895">
            <w:pPr>
              <w:pStyle w:val="ListParagraph"/>
              <w:numPr>
                <w:ilvl w:val="0"/>
                <w:numId w:val="3"/>
              </w:numPr>
              <w:spacing w:before="120" w:after="120" w:line="276" w:lineRule="auto"/>
              <w:ind w:right="317"/>
            </w:pPr>
            <w:r w:rsidRPr="00941B92">
              <w:rPr>
                <w:b w:val="0"/>
              </w:rPr>
              <w:t>Project design, M&amp;E and reporting systems should include clear statements of objectives, showing how these will be achieved, with measurable indicators</w:t>
            </w:r>
          </w:p>
        </w:tc>
        <w:tc>
          <w:tcPr>
            <w:tcW w:w="5245" w:type="dxa"/>
          </w:tcPr>
          <w:p w14:paraId="63621D83" w14:textId="5C87C0A4" w:rsidR="00146E7C" w:rsidRPr="00AE1B0B" w:rsidRDefault="00B4604B" w:rsidP="00CF7895">
            <w:pPr>
              <w:spacing w:after="120" w:line="276" w:lineRule="auto"/>
              <w:cnfStyle w:val="000000100000" w:firstRow="0" w:lastRow="0" w:firstColumn="0" w:lastColumn="0" w:oddVBand="0" w:evenVBand="0" w:oddHBand="1" w:evenHBand="0" w:firstRowFirstColumn="0" w:firstRowLastColumn="0" w:lastRowFirstColumn="0" w:lastRowLastColumn="0"/>
              <w:rPr>
                <w:lang w:val="en-AU"/>
              </w:rPr>
            </w:pPr>
            <w:r w:rsidRPr="00AE1B0B">
              <w:rPr>
                <w:lang w:val="en-AU"/>
              </w:rPr>
              <w:t>Allowing six months for the program design (and at least four months for NGO designs) and providing technical specialists to support the NGOs (in the areas of gender, disability</w:t>
            </w:r>
            <w:r w:rsidR="00231F6A" w:rsidRPr="00AE1B0B">
              <w:rPr>
                <w:lang w:val="en-AU"/>
              </w:rPr>
              <w:t>,</w:t>
            </w:r>
            <w:r w:rsidRPr="00AE1B0B">
              <w:rPr>
                <w:lang w:val="en-AU"/>
              </w:rPr>
              <w:t xml:space="preserve"> and M&amp;E</w:t>
            </w:r>
            <w:r w:rsidR="00146E7C" w:rsidRPr="00AE1B0B">
              <w:rPr>
                <w:lang w:val="en-AU"/>
              </w:rPr>
              <w:t>, plus child protec</w:t>
            </w:r>
            <w:r w:rsidR="003D1966" w:rsidRPr="00AE1B0B">
              <w:rPr>
                <w:lang w:val="en-AU"/>
              </w:rPr>
              <w:t>tion</w:t>
            </w:r>
            <w:r w:rsidR="00231F6A" w:rsidRPr="00AE1B0B">
              <w:rPr>
                <w:lang w:val="en-AU"/>
              </w:rPr>
              <w:t>-</w:t>
            </w:r>
            <w:r w:rsidR="003D1966" w:rsidRPr="00AE1B0B">
              <w:rPr>
                <w:lang w:val="en-AU"/>
              </w:rPr>
              <w:t>focused sessions during in-</w:t>
            </w:r>
            <w:r w:rsidR="00146E7C" w:rsidRPr="00AE1B0B">
              <w:rPr>
                <w:lang w:val="en-AU"/>
              </w:rPr>
              <w:t>country design workshops</w:t>
            </w:r>
            <w:r w:rsidRPr="00AE1B0B">
              <w:rPr>
                <w:lang w:val="en-AU"/>
              </w:rPr>
              <w:t xml:space="preserve">) has helped to ensure rigorous designs. </w:t>
            </w:r>
          </w:p>
          <w:p w14:paraId="6B7F5D20" w14:textId="2A0D3BEF" w:rsidR="00B4604B" w:rsidRPr="00AE1B0B" w:rsidRDefault="00B4604B" w:rsidP="00CF7895">
            <w:pPr>
              <w:spacing w:after="120" w:line="276" w:lineRule="auto"/>
              <w:cnfStyle w:val="000000100000" w:firstRow="0" w:lastRow="0" w:firstColumn="0" w:lastColumn="0" w:oddVBand="0" w:evenVBand="0" w:oddHBand="1" w:evenHBand="0" w:firstRowFirstColumn="0" w:firstRowLastColumn="0" w:lastRowFirstColumn="0" w:lastRowLastColumn="0"/>
              <w:rPr>
                <w:lang w:val="en-AU"/>
              </w:rPr>
            </w:pPr>
            <w:r w:rsidRPr="00AE1B0B">
              <w:rPr>
                <w:lang w:val="en-AU"/>
              </w:rPr>
              <w:t xml:space="preserve">NGO designs build on existing relationships </w:t>
            </w:r>
            <w:r w:rsidR="003B13E1" w:rsidRPr="00AE1B0B">
              <w:rPr>
                <w:lang w:val="en-AU"/>
              </w:rPr>
              <w:t>with</w:t>
            </w:r>
            <w:r w:rsidRPr="00AE1B0B">
              <w:rPr>
                <w:lang w:val="en-AU"/>
              </w:rPr>
              <w:t xml:space="preserve"> local partners in</w:t>
            </w:r>
            <w:r w:rsidR="00231F6A" w:rsidRPr="00AE1B0B">
              <w:rPr>
                <w:lang w:val="en-AU"/>
              </w:rPr>
              <w:t>-</w:t>
            </w:r>
            <w:r w:rsidRPr="00AE1B0B">
              <w:rPr>
                <w:lang w:val="en-AU"/>
              </w:rPr>
              <w:t>country.</w:t>
            </w:r>
          </w:p>
        </w:tc>
      </w:tr>
      <w:tr w:rsidR="000C0164" w:rsidRPr="00656F60" w14:paraId="1D6A92A5" w14:textId="77777777" w:rsidTr="00CF7895">
        <w:tc>
          <w:tcPr>
            <w:cnfStyle w:val="001000000000" w:firstRow="0" w:lastRow="0" w:firstColumn="1" w:lastColumn="0" w:oddVBand="0" w:evenVBand="0" w:oddHBand="0" w:evenHBand="0" w:firstRowFirstColumn="0" w:firstRowLastColumn="0" w:lastRowFirstColumn="0" w:lastRowLastColumn="0"/>
            <w:tcW w:w="4673" w:type="dxa"/>
          </w:tcPr>
          <w:p w14:paraId="6599A455" w14:textId="77777777" w:rsidR="00B4604B" w:rsidRPr="00AE1B0B" w:rsidRDefault="00B4604B" w:rsidP="00CF7895">
            <w:pPr>
              <w:pStyle w:val="ListParagraph"/>
              <w:numPr>
                <w:ilvl w:val="0"/>
                <w:numId w:val="1"/>
              </w:numPr>
              <w:spacing w:before="120" w:after="120" w:line="276" w:lineRule="auto"/>
              <w:ind w:right="317"/>
            </w:pPr>
            <w:r w:rsidRPr="00AE1B0B">
              <w:lastRenderedPageBreak/>
              <w:t>Communicate and engage with government and others to enable program success</w:t>
            </w:r>
          </w:p>
          <w:p w14:paraId="52422F4A" w14:textId="58C111DF" w:rsidR="00B4604B" w:rsidRPr="00941B92" w:rsidRDefault="00B4604B" w:rsidP="00CF7895">
            <w:pPr>
              <w:pStyle w:val="ListParagraph"/>
              <w:numPr>
                <w:ilvl w:val="0"/>
                <w:numId w:val="4"/>
              </w:numPr>
              <w:spacing w:before="120" w:after="120" w:line="276" w:lineRule="auto"/>
              <w:ind w:right="317"/>
              <w:rPr>
                <w:b w:val="0"/>
              </w:rPr>
            </w:pPr>
            <w:r w:rsidRPr="00941B92">
              <w:rPr>
                <w:b w:val="0"/>
              </w:rPr>
              <w:t>Community development work is small</w:t>
            </w:r>
            <w:r w:rsidR="003B13E1" w:rsidRPr="00941B92">
              <w:rPr>
                <w:b w:val="0"/>
              </w:rPr>
              <w:t>-</w:t>
            </w:r>
            <w:r w:rsidRPr="00941B92">
              <w:rPr>
                <w:b w:val="0"/>
              </w:rPr>
              <w:t>scale and local. Engagement with government provides mechanisms for scaling out successful approaches to other communities. The private sector also offers potential for supporting scaling out</w:t>
            </w:r>
          </w:p>
          <w:p w14:paraId="501CFEA0" w14:textId="77777777" w:rsidR="00B4604B" w:rsidRPr="00AE1B0B" w:rsidRDefault="00B4604B" w:rsidP="00CF7895">
            <w:pPr>
              <w:pStyle w:val="ListParagraph"/>
              <w:numPr>
                <w:ilvl w:val="0"/>
                <w:numId w:val="3"/>
              </w:numPr>
              <w:spacing w:before="120" w:after="120" w:line="276" w:lineRule="auto"/>
              <w:ind w:right="317"/>
              <w:rPr>
                <w:b w:val="0"/>
              </w:rPr>
            </w:pPr>
            <w:r w:rsidRPr="00941B92">
              <w:rPr>
                <w:b w:val="0"/>
              </w:rPr>
              <w:t>Developing advocacy skills with communities and partners enables connections between communities and government</w:t>
            </w:r>
          </w:p>
        </w:tc>
        <w:tc>
          <w:tcPr>
            <w:tcW w:w="5245" w:type="dxa"/>
          </w:tcPr>
          <w:p w14:paraId="03612AAD" w14:textId="01D76DE2" w:rsidR="00B4604B" w:rsidRPr="00AE1B0B" w:rsidRDefault="00B4604B" w:rsidP="00CF7895">
            <w:pPr>
              <w:spacing w:after="120" w:line="276" w:lineRule="auto"/>
              <w:cnfStyle w:val="000000000000" w:firstRow="0" w:lastRow="0" w:firstColumn="0" w:lastColumn="0" w:oddVBand="0" w:evenVBand="0" w:oddHBand="0" w:evenHBand="0" w:firstRowFirstColumn="0" w:firstRowLastColumn="0" w:lastRowFirstColumn="0" w:lastRowLastColumn="0"/>
              <w:rPr>
                <w:lang w:val="en-AU"/>
              </w:rPr>
            </w:pPr>
            <w:r w:rsidRPr="00AE1B0B">
              <w:rPr>
                <w:lang w:val="en-AU"/>
              </w:rPr>
              <w:t>Supporting improved engagement between communities and government is one of the objectives of the program. Government (e.g. NDMOs) ha</w:t>
            </w:r>
            <w:r w:rsidR="00A03C77" w:rsidRPr="00AE1B0B">
              <w:rPr>
                <w:lang w:val="en-AU"/>
              </w:rPr>
              <w:t>s</w:t>
            </w:r>
            <w:r w:rsidRPr="00AE1B0B">
              <w:rPr>
                <w:lang w:val="en-AU"/>
              </w:rPr>
              <w:t xml:space="preserve"> been consulted at several key points during the designs. </w:t>
            </w:r>
          </w:p>
          <w:p w14:paraId="3CD2D3F6" w14:textId="409F30B9" w:rsidR="00E574DE" w:rsidRPr="00AE1B0B" w:rsidRDefault="00E574DE" w:rsidP="00CF7895">
            <w:pPr>
              <w:spacing w:after="120" w:line="276" w:lineRule="auto"/>
              <w:cnfStyle w:val="000000000000" w:firstRow="0" w:lastRow="0" w:firstColumn="0" w:lastColumn="0" w:oddVBand="0" w:evenVBand="0" w:oddHBand="0" w:evenHBand="0" w:firstRowFirstColumn="0" w:firstRowLastColumn="0" w:lastRowFirstColumn="0" w:lastRowLastColumn="0"/>
              <w:rPr>
                <w:lang w:val="en-AU"/>
              </w:rPr>
            </w:pPr>
            <w:r w:rsidRPr="00AE1B0B">
              <w:rPr>
                <w:lang w:val="en-AU"/>
              </w:rPr>
              <w:t>NGOs in each country have committed to use and</w:t>
            </w:r>
            <w:r w:rsidR="003B13E1" w:rsidRPr="00AE1B0B">
              <w:rPr>
                <w:lang w:val="en-AU"/>
              </w:rPr>
              <w:t>/</w:t>
            </w:r>
            <w:r w:rsidRPr="00AE1B0B">
              <w:rPr>
                <w:lang w:val="en-AU"/>
              </w:rPr>
              <w:t xml:space="preserve">or develop common tools for CBDRM </w:t>
            </w:r>
            <w:r w:rsidR="002B4A65" w:rsidRPr="00AE1B0B">
              <w:rPr>
                <w:lang w:val="en-AU"/>
              </w:rPr>
              <w:t>with government</w:t>
            </w:r>
            <w:r w:rsidR="001232A9" w:rsidRPr="00AE1B0B">
              <w:rPr>
                <w:lang w:val="en-AU"/>
              </w:rPr>
              <w:t>.</w:t>
            </w:r>
          </w:p>
          <w:p w14:paraId="41AEED90" w14:textId="49DD988F" w:rsidR="00B4604B" w:rsidRPr="00AE1B0B" w:rsidRDefault="00B4604B" w:rsidP="00CF7895">
            <w:pPr>
              <w:spacing w:after="120" w:line="276" w:lineRule="auto"/>
              <w:cnfStyle w:val="000000000000" w:firstRow="0" w:lastRow="0" w:firstColumn="0" w:lastColumn="0" w:oddVBand="0" w:evenVBand="0" w:oddHBand="0" w:evenHBand="0" w:firstRowFirstColumn="0" w:firstRowLastColumn="0" w:lastRowFirstColumn="0" w:lastRowLastColumn="0"/>
              <w:rPr>
                <w:lang w:val="en-AU"/>
              </w:rPr>
            </w:pPr>
            <w:r w:rsidRPr="00AE1B0B">
              <w:rPr>
                <w:lang w:val="en-AU"/>
              </w:rPr>
              <w:t>Responsiveness and engagement with government disaster management priorities and structures</w:t>
            </w:r>
            <w:r w:rsidR="001232A9" w:rsidRPr="00AE1B0B">
              <w:rPr>
                <w:lang w:val="en-AU"/>
              </w:rPr>
              <w:t>.</w:t>
            </w:r>
          </w:p>
          <w:p w14:paraId="6EDC886C" w14:textId="77777777" w:rsidR="00B4604B" w:rsidRPr="00AE1B0B" w:rsidRDefault="00B4604B" w:rsidP="00CF7895">
            <w:pPr>
              <w:spacing w:after="120" w:line="276" w:lineRule="auto"/>
              <w:cnfStyle w:val="000000000000" w:firstRow="0" w:lastRow="0" w:firstColumn="0" w:lastColumn="0" w:oddVBand="0" w:evenVBand="0" w:oddHBand="0" w:evenHBand="0" w:firstRowFirstColumn="0" w:firstRowLastColumn="0" w:lastRowFirstColumn="0" w:lastRowLastColumn="0"/>
              <w:rPr>
                <w:lang w:val="en-AU"/>
              </w:rPr>
            </w:pPr>
          </w:p>
        </w:tc>
      </w:tr>
      <w:tr w:rsidR="000C0164" w:rsidRPr="00656F60" w14:paraId="2B70850D" w14:textId="77777777" w:rsidTr="00CF7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C887DB7" w14:textId="77777777" w:rsidR="00B4604B" w:rsidRPr="00AE1B0B" w:rsidRDefault="00B4604B" w:rsidP="00CF7895">
            <w:pPr>
              <w:pStyle w:val="ListParagraph"/>
              <w:numPr>
                <w:ilvl w:val="0"/>
                <w:numId w:val="1"/>
              </w:numPr>
              <w:spacing w:before="120" w:after="120" w:line="276" w:lineRule="auto"/>
              <w:ind w:right="317"/>
            </w:pPr>
            <w:r w:rsidRPr="00AE1B0B">
              <w:t>Dream big</w:t>
            </w:r>
          </w:p>
          <w:p w14:paraId="3B4B8AAE" w14:textId="20C9F785" w:rsidR="00B4604B" w:rsidRPr="00941B92" w:rsidRDefault="00B4604B" w:rsidP="00BF1A40">
            <w:pPr>
              <w:pStyle w:val="ListParagraph"/>
              <w:numPr>
                <w:ilvl w:val="0"/>
                <w:numId w:val="3"/>
              </w:numPr>
              <w:spacing w:before="120" w:after="120" w:line="276" w:lineRule="auto"/>
              <w:ind w:right="317"/>
              <w:rPr>
                <w:b w:val="0"/>
              </w:rPr>
            </w:pPr>
            <w:r w:rsidRPr="00941B92">
              <w:rPr>
                <w:b w:val="0"/>
              </w:rPr>
              <w:t>Programs made up of small stand</w:t>
            </w:r>
            <w:r w:rsidR="00037D63" w:rsidRPr="00941B92">
              <w:rPr>
                <w:b w:val="0"/>
              </w:rPr>
              <w:t>a</w:t>
            </w:r>
            <w:r w:rsidRPr="00941B92">
              <w:rPr>
                <w:b w:val="0"/>
              </w:rPr>
              <w:t>lone activities that do not connect or build on each other reduce the ability to reach desired higher-level outcomes</w:t>
            </w:r>
          </w:p>
        </w:tc>
        <w:tc>
          <w:tcPr>
            <w:tcW w:w="5245" w:type="dxa"/>
          </w:tcPr>
          <w:p w14:paraId="5C140DB3" w14:textId="7F297657" w:rsidR="00B4604B" w:rsidRPr="00AE1B0B" w:rsidRDefault="00B4604B" w:rsidP="00CF7895">
            <w:pPr>
              <w:spacing w:after="120" w:line="276" w:lineRule="auto"/>
              <w:cnfStyle w:val="000000100000" w:firstRow="0" w:lastRow="0" w:firstColumn="0" w:lastColumn="0" w:oddVBand="0" w:evenVBand="0" w:oddHBand="1" w:evenHBand="0" w:firstRowFirstColumn="0" w:firstRowLastColumn="0" w:lastRowFirstColumn="0" w:lastRowLastColumn="0"/>
              <w:rPr>
                <w:lang w:val="en-AU"/>
              </w:rPr>
            </w:pPr>
            <w:r w:rsidRPr="00AE1B0B">
              <w:rPr>
                <w:lang w:val="en-AU"/>
              </w:rPr>
              <w:t>The program proactively supports and incentivi</w:t>
            </w:r>
            <w:r w:rsidR="003B13E1" w:rsidRPr="00AE1B0B">
              <w:rPr>
                <w:lang w:val="en-AU"/>
              </w:rPr>
              <w:t>s</w:t>
            </w:r>
            <w:r w:rsidRPr="00AE1B0B">
              <w:rPr>
                <w:lang w:val="en-AU"/>
              </w:rPr>
              <w:t>es coordination between NGOs at country level (e.g. through funding a country coordinator role, funding joint work on social inclusion, and requiring a joint annual review and planning forum)</w:t>
            </w:r>
            <w:r w:rsidR="001232A9" w:rsidRPr="00AE1B0B">
              <w:rPr>
                <w:lang w:val="en-AU"/>
              </w:rPr>
              <w:t>.</w:t>
            </w:r>
          </w:p>
          <w:p w14:paraId="085E79BA" w14:textId="74ADDD51" w:rsidR="00B4604B" w:rsidRPr="00AE1B0B" w:rsidRDefault="00B4604B" w:rsidP="00CF7895">
            <w:pPr>
              <w:spacing w:after="120" w:line="276" w:lineRule="auto"/>
              <w:cnfStyle w:val="000000100000" w:firstRow="0" w:lastRow="0" w:firstColumn="0" w:lastColumn="0" w:oddVBand="0" w:evenVBand="0" w:oddHBand="1" w:evenHBand="0" w:firstRowFirstColumn="0" w:firstRowLastColumn="0" w:lastRowFirstColumn="0" w:lastRowLastColumn="0"/>
              <w:rPr>
                <w:lang w:val="en-AU"/>
              </w:rPr>
            </w:pPr>
            <w:r w:rsidRPr="00AE1B0B">
              <w:rPr>
                <w:lang w:val="en-AU"/>
              </w:rPr>
              <w:t xml:space="preserve">DFAT </w:t>
            </w:r>
            <w:r w:rsidR="00A03C77" w:rsidRPr="00AE1B0B">
              <w:rPr>
                <w:lang w:val="en-AU"/>
              </w:rPr>
              <w:t>P</w:t>
            </w:r>
            <w:r w:rsidRPr="00AE1B0B">
              <w:rPr>
                <w:lang w:val="en-AU"/>
              </w:rPr>
              <w:t xml:space="preserve">osts have been actively engaged in the design and will continue this engagement through implementation. This will facilitate linkages to broader policy agendas and help bridge the divide between humanitarian and development programming. </w:t>
            </w:r>
          </w:p>
        </w:tc>
      </w:tr>
      <w:tr w:rsidR="000C0164" w:rsidRPr="00656F60" w14:paraId="7C4E8DBB" w14:textId="77777777" w:rsidTr="00CF7895">
        <w:tc>
          <w:tcPr>
            <w:cnfStyle w:val="001000000000" w:firstRow="0" w:lastRow="0" w:firstColumn="1" w:lastColumn="0" w:oddVBand="0" w:evenVBand="0" w:oddHBand="0" w:evenHBand="0" w:firstRowFirstColumn="0" w:firstRowLastColumn="0" w:lastRowFirstColumn="0" w:lastRowLastColumn="0"/>
            <w:tcW w:w="4673" w:type="dxa"/>
          </w:tcPr>
          <w:p w14:paraId="16AD0B35" w14:textId="77777777" w:rsidR="00B4604B" w:rsidRPr="00AE1B0B" w:rsidRDefault="00B4604B" w:rsidP="00CF7895">
            <w:pPr>
              <w:pStyle w:val="ListParagraph"/>
              <w:numPr>
                <w:ilvl w:val="0"/>
                <w:numId w:val="1"/>
              </w:numPr>
              <w:spacing w:before="120" w:after="120" w:line="276" w:lineRule="auto"/>
              <w:ind w:right="317"/>
            </w:pPr>
            <w:r w:rsidRPr="00AE1B0B">
              <w:t xml:space="preserve">Don’t rush </w:t>
            </w:r>
          </w:p>
          <w:p w14:paraId="0793AEAC" w14:textId="77777777" w:rsidR="00B4604B" w:rsidRPr="00941B92" w:rsidRDefault="00B4604B" w:rsidP="00CF7895">
            <w:pPr>
              <w:pStyle w:val="ListParagraph"/>
              <w:numPr>
                <w:ilvl w:val="0"/>
                <w:numId w:val="3"/>
              </w:numPr>
              <w:spacing w:before="120" w:after="120" w:line="276" w:lineRule="auto"/>
              <w:ind w:right="317"/>
              <w:rPr>
                <w:b w:val="0"/>
              </w:rPr>
            </w:pPr>
            <w:r w:rsidRPr="00941B92">
              <w:rPr>
                <w:b w:val="0"/>
              </w:rPr>
              <w:t>Longer program timeframes are needed to establish firm relationships with government and other partners, and to influence local development planning</w:t>
            </w:r>
          </w:p>
        </w:tc>
        <w:tc>
          <w:tcPr>
            <w:tcW w:w="5245" w:type="dxa"/>
          </w:tcPr>
          <w:p w14:paraId="47A0BBB9" w14:textId="7E4E3080" w:rsidR="00B4604B" w:rsidRPr="00AE1B0B" w:rsidRDefault="00B4604B" w:rsidP="008935AF">
            <w:pPr>
              <w:spacing w:after="120" w:line="276" w:lineRule="auto"/>
              <w:cnfStyle w:val="000000000000" w:firstRow="0" w:lastRow="0" w:firstColumn="0" w:lastColumn="0" w:oddVBand="0" w:evenVBand="0" w:oddHBand="0" w:evenHBand="0" w:firstRowFirstColumn="0" w:firstRowLastColumn="0" w:lastRowFirstColumn="0" w:lastRowLastColumn="0"/>
              <w:rPr>
                <w:lang w:val="en-AU"/>
              </w:rPr>
            </w:pPr>
            <w:r w:rsidRPr="00AE1B0B">
              <w:rPr>
                <w:lang w:val="en-AU"/>
              </w:rPr>
              <w:t>The program has a budget for each NGO consorti</w:t>
            </w:r>
            <w:r w:rsidR="00340A86" w:rsidRPr="00AE1B0B">
              <w:rPr>
                <w:lang w:val="en-AU"/>
              </w:rPr>
              <w:t>um</w:t>
            </w:r>
            <w:r w:rsidRPr="00AE1B0B">
              <w:rPr>
                <w:lang w:val="en-AU"/>
              </w:rPr>
              <w:t xml:space="preserve"> for 4.5 years of implementation. </w:t>
            </w:r>
            <w:r w:rsidR="001232A9" w:rsidRPr="00AE1B0B">
              <w:rPr>
                <w:lang w:val="en-AU"/>
              </w:rPr>
              <w:t>Such l</w:t>
            </w:r>
            <w:r w:rsidRPr="00AE1B0B">
              <w:rPr>
                <w:lang w:val="en-AU"/>
              </w:rPr>
              <w:t>ong</w:t>
            </w:r>
            <w:r w:rsidR="001232A9" w:rsidRPr="00AE1B0B">
              <w:rPr>
                <w:lang w:val="en-AU"/>
              </w:rPr>
              <w:t>-</w:t>
            </w:r>
            <w:r w:rsidRPr="00AE1B0B">
              <w:rPr>
                <w:lang w:val="en-AU"/>
              </w:rPr>
              <w:t>term</w:t>
            </w:r>
            <w:r w:rsidR="001232A9" w:rsidRPr="00AE1B0B">
              <w:rPr>
                <w:lang w:val="en-AU"/>
              </w:rPr>
              <w:t xml:space="preserve"> and</w:t>
            </w:r>
            <w:r w:rsidRPr="00AE1B0B">
              <w:rPr>
                <w:lang w:val="en-AU"/>
              </w:rPr>
              <w:t xml:space="preserve"> stable support to NGOs is a significant innovation in humanitarian program</w:t>
            </w:r>
            <w:r w:rsidR="005F6225" w:rsidRPr="00AE1B0B">
              <w:rPr>
                <w:lang w:val="en-AU"/>
              </w:rPr>
              <w:t>m</w:t>
            </w:r>
            <w:r w:rsidRPr="00AE1B0B">
              <w:rPr>
                <w:lang w:val="en-AU"/>
              </w:rPr>
              <w:t>ing</w:t>
            </w:r>
            <w:r w:rsidR="001232A9" w:rsidRPr="00AE1B0B">
              <w:rPr>
                <w:lang w:val="en-AU"/>
              </w:rPr>
              <w:t>.</w:t>
            </w:r>
          </w:p>
        </w:tc>
      </w:tr>
      <w:tr w:rsidR="000C0164" w:rsidRPr="00656F60" w14:paraId="0D7D5515" w14:textId="77777777" w:rsidTr="00CF7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CA043DB" w14:textId="77777777" w:rsidR="00B4604B" w:rsidRPr="00AE1B0B" w:rsidRDefault="00B4604B" w:rsidP="00CF7895">
            <w:pPr>
              <w:pStyle w:val="ListParagraph"/>
              <w:numPr>
                <w:ilvl w:val="0"/>
                <w:numId w:val="1"/>
              </w:numPr>
              <w:spacing w:before="120" w:after="120" w:line="276" w:lineRule="auto"/>
              <w:ind w:right="317"/>
            </w:pPr>
            <w:r w:rsidRPr="00AE1B0B">
              <w:t>Use hazard and risk information in clever ways</w:t>
            </w:r>
          </w:p>
          <w:p w14:paraId="5B580B63" w14:textId="51DBC348" w:rsidR="00B4604B" w:rsidRPr="00941B92" w:rsidRDefault="00B4604B" w:rsidP="00CF7895">
            <w:pPr>
              <w:pStyle w:val="ListParagraph"/>
              <w:numPr>
                <w:ilvl w:val="0"/>
                <w:numId w:val="3"/>
              </w:numPr>
              <w:spacing w:before="120" w:after="120" w:line="276" w:lineRule="auto"/>
              <w:ind w:right="317"/>
              <w:rPr>
                <w:b w:val="0"/>
              </w:rPr>
            </w:pPr>
            <w:r w:rsidRPr="00941B92">
              <w:rPr>
                <w:b w:val="0"/>
              </w:rPr>
              <w:t xml:space="preserve">Combining local knowledge with new science improves the likelihood of acceptability and leads to improved effectiveness and efficiency. Finding effective ways to translate complex technical information into forms that make sense locally is essential to </w:t>
            </w:r>
            <w:r w:rsidRPr="00941B92">
              <w:rPr>
                <w:b w:val="0"/>
              </w:rPr>
              <w:lastRenderedPageBreak/>
              <w:t>support</w:t>
            </w:r>
            <w:r w:rsidR="001232A9" w:rsidRPr="00941B92">
              <w:rPr>
                <w:b w:val="0"/>
              </w:rPr>
              <w:t>ing</w:t>
            </w:r>
            <w:r w:rsidRPr="00941B92">
              <w:rPr>
                <w:b w:val="0"/>
              </w:rPr>
              <w:t xml:space="preserve"> community awareness and adaptation. NGO programs play </w:t>
            </w:r>
            <w:proofErr w:type="gramStart"/>
            <w:r w:rsidRPr="00941B92">
              <w:rPr>
                <w:b w:val="0"/>
              </w:rPr>
              <w:t>an important role</w:t>
            </w:r>
            <w:proofErr w:type="gramEnd"/>
            <w:r w:rsidRPr="00941B92">
              <w:rPr>
                <w:b w:val="0"/>
              </w:rPr>
              <w:t xml:space="preserve"> in brokering knowledge across the technical divide.</w:t>
            </w:r>
          </w:p>
        </w:tc>
        <w:tc>
          <w:tcPr>
            <w:tcW w:w="5245" w:type="dxa"/>
          </w:tcPr>
          <w:p w14:paraId="5BB9C548" w14:textId="18092CEB" w:rsidR="00B4604B" w:rsidRPr="00AE1B0B" w:rsidRDefault="00B4604B" w:rsidP="00CF7895">
            <w:pPr>
              <w:spacing w:after="120" w:line="276" w:lineRule="auto"/>
              <w:cnfStyle w:val="000000100000" w:firstRow="0" w:lastRow="0" w:firstColumn="0" w:lastColumn="0" w:oddVBand="0" w:evenVBand="0" w:oddHBand="1" w:evenHBand="0" w:firstRowFirstColumn="0" w:firstRowLastColumn="0" w:lastRowFirstColumn="0" w:lastRowLastColumn="0"/>
              <w:rPr>
                <w:lang w:val="en-AU"/>
              </w:rPr>
            </w:pPr>
            <w:r w:rsidRPr="00AE1B0B">
              <w:rPr>
                <w:lang w:val="en-AU"/>
              </w:rPr>
              <w:lastRenderedPageBreak/>
              <w:t xml:space="preserve">The program is exploring ways to access climate science through linking NGOs with DFAT’s upcoming </w:t>
            </w:r>
            <w:r w:rsidR="00000DC8" w:rsidRPr="00AE1B0B">
              <w:rPr>
                <w:lang w:val="en-AU"/>
              </w:rPr>
              <w:t>Australia</w:t>
            </w:r>
            <w:r w:rsidR="001232A9" w:rsidRPr="00AE1B0B">
              <w:rPr>
                <w:lang w:val="en-AU"/>
              </w:rPr>
              <w:t xml:space="preserve"> </w:t>
            </w:r>
            <w:r w:rsidR="00000DC8" w:rsidRPr="00AE1B0B">
              <w:rPr>
                <w:lang w:val="en-AU"/>
              </w:rPr>
              <w:t>Pacific Climate Change Action Program</w:t>
            </w:r>
            <w:r w:rsidRPr="00AE1B0B">
              <w:rPr>
                <w:lang w:val="en-AU"/>
              </w:rPr>
              <w:t xml:space="preserve"> (expected to start in late 2018)</w:t>
            </w:r>
            <w:r w:rsidR="001232A9" w:rsidRPr="00AE1B0B">
              <w:rPr>
                <w:lang w:val="en-AU"/>
              </w:rPr>
              <w:t>.</w:t>
            </w:r>
          </w:p>
          <w:p w14:paraId="3BFDF90B" w14:textId="330CE127" w:rsidR="000D5720" w:rsidRPr="00AE1B0B" w:rsidRDefault="000D5720" w:rsidP="00CF7895">
            <w:pPr>
              <w:spacing w:after="120" w:line="276" w:lineRule="auto"/>
              <w:cnfStyle w:val="000000100000" w:firstRow="0" w:lastRow="0" w:firstColumn="0" w:lastColumn="0" w:oddVBand="0" w:evenVBand="0" w:oddHBand="1" w:evenHBand="0" w:firstRowFirstColumn="0" w:firstRowLastColumn="0" w:lastRowFirstColumn="0" w:lastRowLastColumn="0"/>
              <w:rPr>
                <w:lang w:val="en-AU"/>
              </w:rPr>
            </w:pPr>
            <w:r w:rsidRPr="00AE1B0B">
              <w:rPr>
                <w:lang w:val="en-AU"/>
              </w:rPr>
              <w:t>Community</w:t>
            </w:r>
            <w:r w:rsidR="001232A9" w:rsidRPr="00AE1B0B">
              <w:rPr>
                <w:lang w:val="en-AU"/>
              </w:rPr>
              <w:t>-</w:t>
            </w:r>
            <w:r w:rsidRPr="00AE1B0B">
              <w:rPr>
                <w:lang w:val="en-AU"/>
              </w:rPr>
              <w:t>based disaster risk planning by NGOs will integrate climate and disaster risks</w:t>
            </w:r>
            <w:r w:rsidR="001232A9" w:rsidRPr="00AE1B0B">
              <w:rPr>
                <w:lang w:val="en-AU"/>
              </w:rPr>
              <w:t>.</w:t>
            </w:r>
          </w:p>
          <w:p w14:paraId="00D23FB7" w14:textId="2D639290" w:rsidR="00B4604B" w:rsidRPr="00AE1B0B" w:rsidRDefault="00B4604B" w:rsidP="00CF7895">
            <w:pPr>
              <w:spacing w:after="120" w:line="276" w:lineRule="auto"/>
              <w:cnfStyle w:val="000000100000" w:firstRow="0" w:lastRow="0" w:firstColumn="0" w:lastColumn="0" w:oddVBand="0" w:evenVBand="0" w:oddHBand="1" w:evenHBand="0" w:firstRowFirstColumn="0" w:firstRowLastColumn="0" w:lastRowFirstColumn="0" w:lastRowLastColumn="0"/>
              <w:rPr>
                <w:lang w:val="en-AU"/>
              </w:rPr>
            </w:pPr>
            <w:r w:rsidRPr="00AE1B0B">
              <w:rPr>
                <w:lang w:val="en-AU"/>
              </w:rPr>
              <w:lastRenderedPageBreak/>
              <w:t xml:space="preserve">NGOs will work with </w:t>
            </w:r>
            <w:r w:rsidR="00231A11" w:rsidRPr="00AE1B0B">
              <w:rPr>
                <w:lang w:val="en-AU"/>
              </w:rPr>
              <w:t xml:space="preserve">national </w:t>
            </w:r>
            <w:r w:rsidRPr="00AE1B0B">
              <w:rPr>
                <w:lang w:val="en-AU"/>
              </w:rPr>
              <w:t xml:space="preserve">meteorological services </w:t>
            </w:r>
            <w:r w:rsidR="00231A11" w:rsidRPr="00AE1B0B">
              <w:rPr>
                <w:lang w:val="en-AU"/>
              </w:rPr>
              <w:t>and local communities</w:t>
            </w:r>
            <w:r w:rsidRPr="00AE1B0B">
              <w:rPr>
                <w:lang w:val="en-AU"/>
              </w:rPr>
              <w:t xml:space="preserve"> to improve the way in which early warnings are communicated</w:t>
            </w:r>
            <w:r w:rsidR="00231A11" w:rsidRPr="00AE1B0B">
              <w:rPr>
                <w:lang w:val="en-AU"/>
              </w:rPr>
              <w:t xml:space="preserve"> and received</w:t>
            </w:r>
            <w:r w:rsidR="001232A9" w:rsidRPr="00AE1B0B">
              <w:rPr>
                <w:lang w:val="en-AU"/>
              </w:rPr>
              <w:t>.</w:t>
            </w:r>
          </w:p>
          <w:p w14:paraId="1CE2F9D1" w14:textId="77777777" w:rsidR="00B4604B" w:rsidRPr="00AE1B0B" w:rsidRDefault="00B4604B" w:rsidP="00CF7895">
            <w:pPr>
              <w:spacing w:after="120" w:line="276" w:lineRule="auto"/>
              <w:cnfStyle w:val="000000100000" w:firstRow="0" w:lastRow="0" w:firstColumn="0" w:lastColumn="0" w:oddVBand="0" w:evenVBand="0" w:oddHBand="1" w:evenHBand="0" w:firstRowFirstColumn="0" w:firstRowLastColumn="0" w:lastRowFirstColumn="0" w:lastRowLastColumn="0"/>
              <w:rPr>
                <w:lang w:val="en-AU"/>
              </w:rPr>
            </w:pPr>
          </w:p>
          <w:p w14:paraId="4A969274" w14:textId="77777777" w:rsidR="00B4604B" w:rsidRPr="00AE1B0B" w:rsidRDefault="00B4604B" w:rsidP="00CF7895">
            <w:pPr>
              <w:spacing w:after="120" w:line="276" w:lineRule="auto"/>
              <w:cnfStyle w:val="000000100000" w:firstRow="0" w:lastRow="0" w:firstColumn="0" w:lastColumn="0" w:oddVBand="0" w:evenVBand="0" w:oddHBand="1" w:evenHBand="0" w:firstRowFirstColumn="0" w:firstRowLastColumn="0" w:lastRowFirstColumn="0" w:lastRowLastColumn="0"/>
              <w:rPr>
                <w:lang w:val="en-AU"/>
              </w:rPr>
            </w:pPr>
          </w:p>
        </w:tc>
      </w:tr>
      <w:tr w:rsidR="000C0164" w:rsidRPr="00656F60" w14:paraId="4EF6C5F8" w14:textId="77777777" w:rsidTr="00CF7895">
        <w:tc>
          <w:tcPr>
            <w:cnfStyle w:val="001000000000" w:firstRow="0" w:lastRow="0" w:firstColumn="1" w:lastColumn="0" w:oddVBand="0" w:evenVBand="0" w:oddHBand="0" w:evenHBand="0" w:firstRowFirstColumn="0" w:firstRowLastColumn="0" w:lastRowFirstColumn="0" w:lastRowLastColumn="0"/>
            <w:tcW w:w="4673" w:type="dxa"/>
          </w:tcPr>
          <w:p w14:paraId="1C35B5D6" w14:textId="77777777" w:rsidR="00B4604B" w:rsidRPr="00AE1B0B" w:rsidRDefault="00B4604B" w:rsidP="00CF7895">
            <w:pPr>
              <w:pStyle w:val="ListParagraph"/>
              <w:numPr>
                <w:ilvl w:val="0"/>
                <w:numId w:val="1"/>
              </w:numPr>
              <w:spacing w:before="120" w:after="120" w:line="276" w:lineRule="auto"/>
              <w:ind w:right="317"/>
            </w:pPr>
            <w:r w:rsidRPr="00AE1B0B">
              <w:lastRenderedPageBreak/>
              <w:t>Inclusiveness must be front of mind</w:t>
            </w:r>
          </w:p>
          <w:p w14:paraId="538D96DA" w14:textId="1BF72B03" w:rsidR="00B4604B" w:rsidRPr="00941B92" w:rsidRDefault="00B4604B" w:rsidP="00CF7895">
            <w:pPr>
              <w:pStyle w:val="ListParagraph"/>
              <w:numPr>
                <w:ilvl w:val="0"/>
                <w:numId w:val="3"/>
              </w:numPr>
              <w:spacing w:before="120" w:after="120" w:line="276" w:lineRule="auto"/>
              <w:ind w:right="317"/>
              <w:rPr>
                <w:b w:val="0"/>
              </w:rPr>
            </w:pPr>
            <w:r w:rsidRPr="00941B92">
              <w:rPr>
                <w:b w:val="0"/>
              </w:rPr>
              <w:t>Some programs address gender in a practical and fulfilling way while many address gender equalities in a tokenistic manner</w:t>
            </w:r>
            <w:r w:rsidR="001232A9" w:rsidRPr="00941B92">
              <w:rPr>
                <w:b w:val="0"/>
              </w:rPr>
              <w:t xml:space="preserve"> only</w:t>
            </w:r>
          </w:p>
          <w:p w14:paraId="79E1074D" w14:textId="38CBD243" w:rsidR="00B4604B" w:rsidRPr="00941B92" w:rsidRDefault="00B4604B" w:rsidP="00CF7895">
            <w:pPr>
              <w:pStyle w:val="ListParagraph"/>
              <w:numPr>
                <w:ilvl w:val="0"/>
                <w:numId w:val="3"/>
              </w:numPr>
              <w:spacing w:before="120" w:after="120" w:line="276" w:lineRule="auto"/>
              <w:ind w:right="317"/>
              <w:rPr>
                <w:b w:val="0"/>
              </w:rPr>
            </w:pPr>
            <w:r w:rsidRPr="00941B92">
              <w:rPr>
                <w:b w:val="0"/>
              </w:rPr>
              <w:t>Gender</w:t>
            </w:r>
            <w:r w:rsidR="001232A9" w:rsidRPr="00941B92">
              <w:rPr>
                <w:b w:val="0"/>
              </w:rPr>
              <w:t>-</w:t>
            </w:r>
            <w:r w:rsidRPr="00941B92">
              <w:rPr>
                <w:b w:val="0"/>
              </w:rPr>
              <w:t>responsive DRR had positive impacts on community</w:t>
            </w:r>
            <w:r w:rsidR="001232A9" w:rsidRPr="00941B92">
              <w:rPr>
                <w:b w:val="0"/>
              </w:rPr>
              <w:t>-</w:t>
            </w:r>
            <w:r w:rsidRPr="00941B92">
              <w:rPr>
                <w:b w:val="0"/>
              </w:rPr>
              <w:t>level preparation, response and recovery resulting from Cyclone Pam in Vanuatu</w:t>
            </w:r>
          </w:p>
          <w:p w14:paraId="48E21A92" w14:textId="6E2797AD" w:rsidR="00B4604B" w:rsidRPr="00941B92" w:rsidRDefault="00B4604B" w:rsidP="00CF7895">
            <w:pPr>
              <w:pStyle w:val="ListParagraph"/>
              <w:numPr>
                <w:ilvl w:val="0"/>
                <w:numId w:val="3"/>
              </w:numPr>
              <w:spacing w:before="120" w:after="120" w:line="276" w:lineRule="auto"/>
              <w:ind w:right="317"/>
              <w:rPr>
                <w:b w:val="0"/>
              </w:rPr>
            </w:pPr>
            <w:r w:rsidRPr="00941B92">
              <w:rPr>
                <w:b w:val="0"/>
              </w:rPr>
              <w:t>Supporting the involvement of people with disabilities requires more work and attention</w:t>
            </w:r>
            <w:r w:rsidR="008935AF" w:rsidRPr="00941B92">
              <w:rPr>
                <w:b w:val="0"/>
              </w:rPr>
              <w:t>;</w:t>
            </w:r>
            <w:r w:rsidRPr="00941B92">
              <w:rPr>
                <w:b w:val="0"/>
              </w:rPr>
              <w:t xml:space="preserve"> </w:t>
            </w:r>
            <w:r w:rsidR="008935AF" w:rsidRPr="00941B92">
              <w:rPr>
                <w:b w:val="0"/>
              </w:rPr>
              <w:t xml:space="preserve">in the past, their involvement has been </w:t>
            </w:r>
            <w:r w:rsidRPr="00941B92">
              <w:rPr>
                <w:b w:val="0"/>
              </w:rPr>
              <w:t>largely restricted to activities that facilitated disabled access and not about genuine involvement in all aspects of a program</w:t>
            </w:r>
          </w:p>
          <w:p w14:paraId="252227C9" w14:textId="1B3D0296" w:rsidR="00B4604B" w:rsidRPr="00AE1B0B" w:rsidRDefault="00B4604B" w:rsidP="00BF1A40">
            <w:pPr>
              <w:pStyle w:val="ListParagraph"/>
              <w:numPr>
                <w:ilvl w:val="0"/>
                <w:numId w:val="3"/>
              </w:numPr>
              <w:spacing w:before="120" w:after="120" w:line="276" w:lineRule="auto"/>
              <w:ind w:right="317"/>
              <w:rPr>
                <w:b w:val="0"/>
              </w:rPr>
            </w:pPr>
            <w:r w:rsidRPr="00941B92">
              <w:rPr>
                <w:b w:val="0"/>
              </w:rPr>
              <w:t>Child-centred approaches to vulnerability assessments, adaptation planning</w:t>
            </w:r>
            <w:r w:rsidR="008935AF" w:rsidRPr="00941B92">
              <w:rPr>
                <w:b w:val="0"/>
              </w:rPr>
              <w:t>,</w:t>
            </w:r>
            <w:r w:rsidRPr="00941B92">
              <w:rPr>
                <w:b w:val="0"/>
              </w:rPr>
              <w:t xml:space="preserve"> and local action provide unique and essential inputs to overall community resilience</w:t>
            </w:r>
          </w:p>
        </w:tc>
        <w:tc>
          <w:tcPr>
            <w:tcW w:w="5245" w:type="dxa"/>
          </w:tcPr>
          <w:p w14:paraId="2A5D0E35" w14:textId="4B7E782B" w:rsidR="00B4604B" w:rsidRPr="00AE1B0B" w:rsidRDefault="00B4604B" w:rsidP="00BF1A40">
            <w:pPr>
              <w:spacing w:after="120" w:line="276" w:lineRule="auto"/>
              <w:cnfStyle w:val="000000000000" w:firstRow="0" w:lastRow="0" w:firstColumn="0" w:lastColumn="0" w:oddVBand="0" w:evenVBand="0" w:oddHBand="0" w:evenHBand="0" w:firstRowFirstColumn="0" w:firstRowLastColumn="0" w:lastRowFirstColumn="0" w:lastRowLastColumn="0"/>
              <w:rPr>
                <w:i/>
                <w:lang w:val="en-AU"/>
              </w:rPr>
            </w:pPr>
            <w:r w:rsidRPr="00AE1B0B">
              <w:rPr>
                <w:lang w:val="en-AU"/>
              </w:rPr>
              <w:t xml:space="preserve">Gender equality and disability inclusion have been addressed from the inception of the design with </w:t>
            </w:r>
            <w:r w:rsidR="00185F45" w:rsidRPr="00AE1B0B">
              <w:rPr>
                <w:lang w:val="en-AU"/>
              </w:rPr>
              <w:t xml:space="preserve">guidance papers and technical support for NGO designs from gender and disability humanitarian specialists; gender, disability and child protection sessions during all design workshops; </w:t>
            </w:r>
            <w:r w:rsidRPr="00AE1B0B">
              <w:rPr>
                <w:lang w:val="en-AU"/>
              </w:rPr>
              <w:t xml:space="preserve">active involvement of </w:t>
            </w:r>
            <w:r w:rsidR="00037D63" w:rsidRPr="00AE1B0B">
              <w:rPr>
                <w:lang w:val="en-AU"/>
              </w:rPr>
              <w:t>DPO</w:t>
            </w:r>
            <w:r w:rsidRPr="00AE1B0B">
              <w:rPr>
                <w:lang w:val="en-AU"/>
              </w:rPr>
              <w:t>s in the design process and program governance mechanisms</w:t>
            </w:r>
            <w:r w:rsidR="009F50E7" w:rsidRPr="00AE1B0B">
              <w:rPr>
                <w:lang w:val="en-AU"/>
              </w:rPr>
              <w:t xml:space="preserve">; </w:t>
            </w:r>
            <w:r w:rsidR="008935AF" w:rsidRPr="00AE1B0B">
              <w:rPr>
                <w:lang w:val="en-AU"/>
              </w:rPr>
              <w:t xml:space="preserve">and </w:t>
            </w:r>
            <w:r w:rsidR="009F50E7" w:rsidRPr="00AE1B0B">
              <w:rPr>
                <w:lang w:val="en-AU"/>
              </w:rPr>
              <w:t>participation of women’s and LGBTQI organisations in design workshops</w:t>
            </w:r>
            <w:r w:rsidRPr="00AE1B0B">
              <w:rPr>
                <w:lang w:val="en-AU"/>
              </w:rPr>
              <w:t xml:space="preserve">. </w:t>
            </w:r>
            <w:r w:rsidR="00BF1A40" w:rsidRPr="00AE1B0B">
              <w:rPr>
                <w:lang w:val="en-AU"/>
              </w:rPr>
              <w:t>Shared services</w:t>
            </w:r>
            <w:r w:rsidRPr="00AE1B0B">
              <w:rPr>
                <w:lang w:val="en-AU"/>
              </w:rPr>
              <w:t xml:space="preserve"> at country level focus</w:t>
            </w:r>
            <w:r w:rsidR="00037D63" w:rsidRPr="00AE1B0B">
              <w:rPr>
                <w:lang w:val="en-AU"/>
              </w:rPr>
              <w:t>es</w:t>
            </w:r>
            <w:r w:rsidRPr="00AE1B0B">
              <w:rPr>
                <w:lang w:val="en-AU"/>
              </w:rPr>
              <w:t xml:space="preserve"> on gender equality, disability inclusion and child protection</w:t>
            </w:r>
            <w:r w:rsidR="00185F45" w:rsidRPr="00AE1B0B">
              <w:rPr>
                <w:lang w:val="en-AU"/>
              </w:rPr>
              <w:t>, drawing on NGO technical expertise</w:t>
            </w:r>
            <w:r w:rsidR="008935AF" w:rsidRPr="00AE1B0B">
              <w:rPr>
                <w:lang w:val="en-AU"/>
              </w:rPr>
              <w:t xml:space="preserve">; </w:t>
            </w:r>
            <w:r w:rsidRPr="00AE1B0B">
              <w:rPr>
                <w:lang w:val="en-AU"/>
              </w:rPr>
              <w:t xml:space="preserve">progress in these areas will be reviewed annually.   </w:t>
            </w:r>
          </w:p>
        </w:tc>
      </w:tr>
    </w:tbl>
    <w:p w14:paraId="3014F035" w14:textId="2DA2EEC5" w:rsidR="00447153" w:rsidRPr="00A048D6" w:rsidRDefault="00447153" w:rsidP="00AE1B0B">
      <w:pPr>
        <w:rPr>
          <w:lang w:val="en-AU"/>
        </w:rPr>
      </w:pPr>
    </w:p>
    <w:p w14:paraId="30AB0C2C" w14:textId="77777777" w:rsidR="00447153" w:rsidRPr="00394C86" w:rsidRDefault="00447153" w:rsidP="00447153">
      <w:pPr>
        <w:pStyle w:val="Heading2"/>
        <w:rPr>
          <w:rFonts w:ascii="Calibri" w:hAnsi="Calibri" w:cs="Calibri"/>
          <w:lang w:val="en-AU"/>
        </w:rPr>
      </w:pPr>
      <w:bookmarkStart w:id="11" w:name="_Toc501451661"/>
      <w:r w:rsidRPr="00394C86">
        <w:rPr>
          <w:rFonts w:ascii="Calibri" w:hAnsi="Calibri" w:cs="Calibri"/>
          <w:lang w:val="en-AU"/>
        </w:rPr>
        <w:t>Rationale for Australian DFAT Engagement</w:t>
      </w:r>
      <w:bookmarkEnd w:id="11"/>
    </w:p>
    <w:p w14:paraId="16631C11" w14:textId="5356A51B" w:rsidR="000C0164" w:rsidRPr="00AE1B0B" w:rsidRDefault="00037D63" w:rsidP="003500AE">
      <w:pPr>
        <w:spacing w:after="120" w:line="276" w:lineRule="auto"/>
        <w:rPr>
          <w:lang w:val="en-AU"/>
        </w:rPr>
      </w:pPr>
      <w:r w:rsidRPr="00AE1B0B">
        <w:rPr>
          <w:lang w:val="en-AU"/>
        </w:rPr>
        <w:t>A</w:t>
      </w:r>
      <w:r w:rsidR="00184C47" w:rsidRPr="00AE1B0B">
        <w:rPr>
          <w:lang w:val="en-AU"/>
        </w:rPr>
        <w:t xml:space="preserve">longside Pacific </w:t>
      </w:r>
      <w:r w:rsidRPr="00AE1B0B">
        <w:rPr>
          <w:lang w:val="en-AU"/>
        </w:rPr>
        <w:t>I</w:t>
      </w:r>
      <w:r w:rsidR="00184C47" w:rsidRPr="00AE1B0B">
        <w:rPr>
          <w:lang w:val="en-AU"/>
        </w:rPr>
        <w:t>sland governments and communities,</w:t>
      </w:r>
      <w:r w:rsidRPr="00AE1B0B">
        <w:rPr>
          <w:lang w:val="en-AU"/>
        </w:rPr>
        <w:t xml:space="preserve"> Australia</w:t>
      </w:r>
      <w:r w:rsidR="003500AE" w:rsidRPr="00AE1B0B">
        <w:rPr>
          <w:lang w:val="en-AU"/>
        </w:rPr>
        <w:t xml:space="preserve"> is a first responder to disasters in the Pacific and Timor</w:t>
      </w:r>
      <w:r w:rsidR="003B39C9" w:rsidRPr="00AE1B0B">
        <w:rPr>
          <w:lang w:val="en-AU"/>
        </w:rPr>
        <w:t>-</w:t>
      </w:r>
      <w:r w:rsidR="003500AE" w:rsidRPr="00AE1B0B">
        <w:rPr>
          <w:lang w:val="en-AU"/>
        </w:rPr>
        <w:t>Leste</w:t>
      </w:r>
      <w:r w:rsidRPr="00AE1B0B">
        <w:rPr>
          <w:lang w:val="en-AU"/>
        </w:rPr>
        <w:t xml:space="preserve">. Australia </w:t>
      </w:r>
      <w:r w:rsidR="003500AE" w:rsidRPr="00AE1B0B">
        <w:rPr>
          <w:lang w:val="en-AU"/>
        </w:rPr>
        <w:t xml:space="preserve">has a clear interest in supporting neighbouring countries to build their own humanitarian capability. </w:t>
      </w:r>
      <w:r w:rsidR="00DA6CBB" w:rsidRPr="00AE1B0B">
        <w:rPr>
          <w:lang w:val="en-AU"/>
        </w:rPr>
        <w:t xml:space="preserve">The Australian Government’s 2017 Foreign Policy White Paper recognises the critical role played by local governments and partners in advancing a secure, self-reliant and prosperous Indo-Pacific. The White Paper emphasises the importance of investing in local and national capacity to better prepare for and respond to natural disasters. </w:t>
      </w:r>
      <w:proofErr w:type="gramStart"/>
      <w:r w:rsidR="00DA6CBB" w:rsidRPr="00AE1B0B">
        <w:rPr>
          <w:lang w:val="en-AU"/>
        </w:rPr>
        <w:t>In particular, it</w:t>
      </w:r>
      <w:proofErr w:type="gramEnd"/>
      <w:r w:rsidR="00DA6CBB" w:rsidRPr="00AE1B0B">
        <w:rPr>
          <w:lang w:val="en-AU"/>
        </w:rPr>
        <w:t xml:space="preserve"> recognises the value of local partners, who have a comprehensive understanding of local contexts and can </w:t>
      </w:r>
      <w:r w:rsidR="00677616" w:rsidRPr="00AE1B0B">
        <w:rPr>
          <w:lang w:val="en-AU"/>
        </w:rPr>
        <w:t>often</w:t>
      </w:r>
      <w:r w:rsidR="00DA6CBB" w:rsidRPr="00AE1B0B">
        <w:rPr>
          <w:lang w:val="en-AU"/>
        </w:rPr>
        <w:t xml:space="preserve"> reach vulnerable groups that are otherwise difficult to access. </w:t>
      </w:r>
      <w:r w:rsidR="000C0164" w:rsidRPr="00AE1B0B">
        <w:rPr>
          <w:lang w:val="en-AU"/>
        </w:rPr>
        <w:br/>
      </w:r>
      <w:r w:rsidR="000C0164" w:rsidRPr="00AE1B0B">
        <w:rPr>
          <w:lang w:val="en-AU"/>
        </w:rPr>
        <w:br/>
      </w:r>
      <w:r w:rsidR="009D72E9" w:rsidRPr="00AE1B0B">
        <w:rPr>
          <w:lang w:val="en-AU"/>
        </w:rPr>
        <w:lastRenderedPageBreak/>
        <w:t>One of Australia’s key aid investment priorities articulated in the Australian Aid policy (2014)</w:t>
      </w:r>
      <w:r w:rsidR="004D56A6" w:rsidRPr="00AE1B0B">
        <w:rPr>
          <w:rStyle w:val="FootnoteReference"/>
          <w:lang w:val="en-AU"/>
        </w:rPr>
        <w:footnoteReference w:id="25"/>
      </w:r>
      <w:r w:rsidR="009D72E9" w:rsidRPr="00AE1B0B">
        <w:rPr>
          <w:lang w:val="en-AU"/>
        </w:rPr>
        <w:t xml:space="preserve"> is to build resilience through humanitarian assistance, disaster risk reduction and social protection. Reducing risk and building resilience to future disasters is a priority not only to save lives but also for sustainable economic growth</w:t>
      </w:r>
      <w:r w:rsidR="009D72E9" w:rsidRPr="00AE1B0B">
        <w:rPr>
          <w:rStyle w:val="FootnoteReference"/>
          <w:lang w:val="en-AU"/>
        </w:rPr>
        <w:footnoteReference w:id="26"/>
      </w:r>
      <w:r w:rsidR="009D72E9" w:rsidRPr="00AE1B0B">
        <w:rPr>
          <w:lang w:val="en-AU"/>
        </w:rPr>
        <w:t xml:space="preserve">.  </w:t>
      </w:r>
      <w:r w:rsidR="00DA6CBB" w:rsidRPr="00AE1B0B">
        <w:rPr>
          <w:lang w:val="en-AU"/>
        </w:rPr>
        <w:t>DFAT’s Humanitarian Strategy</w:t>
      </w:r>
      <w:r w:rsidR="0037614E" w:rsidRPr="00AE1B0B">
        <w:rPr>
          <w:lang w:val="en-AU"/>
        </w:rPr>
        <w:t xml:space="preserve"> (2016)</w:t>
      </w:r>
      <w:r w:rsidR="0037614E" w:rsidRPr="00AE1B0B">
        <w:rPr>
          <w:rStyle w:val="FootnoteReference"/>
          <w:lang w:val="en-AU"/>
        </w:rPr>
        <w:footnoteReference w:id="27"/>
      </w:r>
      <w:r w:rsidR="0037614E" w:rsidRPr="00AE1B0B">
        <w:rPr>
          <w:lang w:val="en-AU"/>
        </w:rPr>
        <w:t xml:space="preserve"> articulates four objectives for Australia’s</w:t>
      </w:r>
      <w:r w:rsidR="009D72E9" w:rsidRPr="00AE1B0B">
        <w:rPr>
          <w:lang w:val="en-AU"/>
        </w:rPr>
        <w:t xml:space="preserve"> humanitarian</w:t>
      </w:r>
      <w:r w:rsidR="0037614E" w:rsidRPr="00AE1B0B">
        <w:rPr>
          <w:lang w:val="en-AU"/>
        </w:rPr>
        <w:t xml:space="preserve"> investments: supporting reform and innovation to strengthen humanitarian action; reducing disaster risk; supporting preparedness and response capabilities in the Indo-Pacific; and enabling early recovery efforts. </w:t>
      </w:r>
      <w:r w:rsidR="003500AE" w:rsidRPr="00AE1B0B">
        <w:rPr>
          <w:lang w:val="en-AU"/>
        </w:rPr>
        <w:t>Australia has a portfolio of humanitarian investments through the UN and Pacific regional organisations and through national governments in the focus countries</w:t>
      </w:r>
      <w:r w:rsidRPr="00AE1B0B">
        <w:rPr>
          <w:lang w:val="en-AU"/>
        </w:rPr>
        <w:t xml:space="preserve"> as</w:t>
      </w:r>
      <w:r w:rsidR="003500AE" w:rsidRPr="00AE1B0B">
        <w:rPr>
          <w:lang w:val="en-AU"/>
        </w:rPr>
        <w:t xml:space="preserve"> articulated in the DFAT Pacific Humanitarian Strategy</w:t>
      </w:r>
      <w:r w:rsidR="003500AE" w:rsidRPr="00AE1B0B">
        <w:rPr>
          <w:rStyle w:val="FootnoteReference"/>
          <w:lang w:val="en-AU"/>
        </w:rPr>
        <w:footnoteReference w:id="28"/>
      </w:r>
      <w:r w:rsidR="003500AE" w:rsidRPr="00AE1B0B">
        <w:rPr>
          <w:lang w:val="en-AU"/>
        </w:rPr>
        <w:t xml:space="preserve">. </w:t>
      </w:r>
      <w:bookmarkStart w:id="12" w:name="_Hlk499026796"/>
      <w:r w:rsidR="000C0164" w:rsidRPr="00AE1B0B">
        <w:rPr>
          <w:lang w:val="en-AU"/>
        </w:rPr>
        <w:br/>
      </w:r>
      <w:r w:rsidR="000C0164" w:rsidRPr="00AE1B0B">
        <w:rPr>
          <w:lang w:val="en-AU"/>
        </w:rPr>
        <w:br/>
      </w:r>
      <w:r w:rsidR="003500AE" w:rsidRPr="00AE1B0B">
        <w:rPr>
          <w:lang w:val="en-AU"/>
        </w:rPr>
        <w:t xml:space="preserve">Disaster READY </w:t>
      </w:r>
      <w:r w:rsidR="0037614E" w:rsidRPr="00AE1B0B">
        <w:rPr>
          <w:lang w:val="en-AU"/>
        </w:rPr>
        <w:t xml:space="preserve">responds to each of the four objectives of the DFAT Humanitarian </w:t>
      </w:r>
      <w:r w:rsidR="00C947A4" w:rsidRPr="00AE1B0B">
        <w:rPr>
          <w:lang w:val="en-AU"/>
        </w:rPr>
        <w:t>Strategy</w:t>
      </w:r>
      <w:r w:rsidR="0037614E" w:rsidRPr="00AE1B0B">
        <w:rPr>
          <w:lang w:val="en-AU"/>
        </w:rPr>
        <w:t xml:space="preserve"> and has a</w:t>
      </w:r>
      <w:r w:rsidR="003500AE" w:rsidRPr="00AE1B0B">
        <w:rPr>
          <w:lang w:val="en-AU"/>
        </w:rPr>
        <w:t xml:space="preserve"> specific focus on</w:t>
      </w:r>
      <w:r w:rsidR="0037614E" w:rsidRPr="00AE1B0B">
        <w:rPr>
          <w:lang w:val="en-AU"/>
        </w:rPr>
        <w:t xml:space="preserve"> </w:t>
      </w:r>
      <w:r w:rsidR="00677616" w:rsidRPr="00AE1B0B">
        <w:rPr>
          <w:lang w:val="en-AU"/>
        </w:rPr>
        <w:t xml:space="preserve">the </w:t>
      </w:r>
      <w:r w:rsidR="0037614E" w:rsidRPr="00AE1B0B">
        <w:rPr>
          <w:lang w:val="en-AU"/>
        </w:rPr>
        <w:t>thematic priorities of the policy:</w:t>
      </w:r>
      <w:r w:rsidR="00C947A4" w:rsidRPr="00AE1B0B">
        <w:rPr>
          <w:lang w:val="en-AU"/>
        </w:rPr>
        <w:t xml:space="preserve"> </w:t>
      </w:r>
      <w:r w:rsidR="003500AE" w:rsidRPr="00AE1B0B">
        <w:rPr>
          <w:lang w:val="en-AU"/>
        </w:rPr>
        <w:t xml:space="preserve"> gender equality and women’s empowerment</w:t>
      </w:r>
      <w:r w:rsidR="008935AF" w:rsidRPr="00AE1B0B">
        <w:rPr>
          <w:lang w:val="en-AU"/>
        </w:rPr>
        <w:t>;</w:t>
      </w:r>
      <w:r w:rsidR="003500AE" w:rsidRPr="00AE1B0B">
        <w:rPr>
          <w:lang w:val="en-AU"/>
        </w:rPr>
        <w:t xml:space="preserve"> disability inclusiveness</w:t>
      </w:r>
      <w:r w:rsidR="008935AF" w:rsidRPr="00AE1B0B">
        <w:rPr>
          <w:lang w:val="en-AU"/>
        </w:rPr>
        <w:t>;</w:t>
      </w:r>
      <w:r w:rsidR="003500AE" w:rsidRPr="00AE1B0B">
        <w:rPr>
          <w:lang w:val="en-AU"/>
        </w:rPr>
        <w:t xml:space="preserve"> child protection</w:t>
      </w:r>
      <w:r w:rsidR="008935AF" w:rsidRPr="00AE1B0B">
        <w:rPr>
          <w:lang w:val="en-AU"/>
        </w:rPr>
        <w:t>;</w:t>
      </w:r>
      <w:r w:rsidR="003500AE" w:rsidRPr="00AE1B0B">
        <w:rPr>
          <w:lang w:val="en-AU"/>
        </w:rPr>
        <w:t xml:space="preserve"> </w:t>
      </w:r>
      <w:r w:rsidR="00AE1B0B">
        <w:rPr>
          <w:lang w:val="en-AU"/>
        </w:rPr>
        <w:t xml:space="preserve">and </w:t>
      </w:r>
      <w:r w:rsidR="003500AE" w:rsidRPr="00AE1B0B">
        <w:rPr>
          <w:lang w:val="en-AU"/>
        </w:rPr>
        <w:t xml:space="preserve">robust monitoring, evaluation, accountability and learning. </w:t>
      </w:r>
      <w:r w:rsidR="002413D0" w:rsidRPr="00AE1B0B">
        <w:rPr>
          <w:lang w:val="en-AU"/>
        </w:rPr>
        <w:t xml:space="preserve">The focus of </w:t>
      </w:r>
      <w:bookmarkEnd w:id="12"/>
      <w:r w:rsidR="003500AE" w:rsidRPr="00AE1B0B">
        <w:rPr>
          <w:lang w:val="en-AU"/>
        </w:rPr>
        <w:t xml:space="preserve">Disaster READY </w:t>
      </w:r>
      <w:r w:rsidR="002413D0" w:rsidRPr="00AE1B0B">
        <w:rPr>
          <w:lang w:val="en-AU"/>
        </w:rPr>
        <w:t>is at</w:t>
      </w:r>
      <w:r w:rsidR="003500AE" w:rsidRPr="00AE1B0B">
        <w:rPr>
          <w:lang w:val="en-AU"/>
        </w:rPr>
        <w:t xml:space="preserve"> </w:t>
      </w:r>
      <w:r w:rsidR="008935AF" w:rsidRPr="00AE1B0B">
        <w:rPr>
          <w:lang w:val="en-AU"/>
        </w:rPr>
        <w:t xml:space="preserve">the </w:t>
      </w:r>
      <w:r w:rsidR="003500AE" w:rsidRPr="00AE1B0B">
        <w:rPr>
          <w:lang w:val="en-AU"/>
        </w:rPr>
        <w:t>community level</w:t>
      </w:r>
      <w:r w:rsidR="008935AF" w:rsidRPr="00AE1B0B">
        <w:rPr>
          <w:lang w:val="en-AU"/>
        </w:rPr>
        <w:t>,</w:t>
      </w:r>
      <w:r w:rsidR="003500AE" w:rsidRPr="00AE1B0B">
        <w:rPr>
          <w:lang w:val="en-AU"/>
        </w:rPr>
        <w:t xml:space="preserve"> recognising the strength, depth and reach of AHP NGOs in the Pacific and </w:t>
      </w:r>
      <w:r w:rsidR="00F3172F" w:rsidRPr="00AE1B0B">
        <w:rPr>
          <w:lang w:val="en-AU"/>
        </w:rPr>
        <w:t>Timor-Leste</w:t>
      </w:r>
      <w:r w:rsidR="003500AE" w:rsidRPr="00AE1B0B">
        <w:rPr>
          <w:lang w:val="en-AU"/>
        </w:rPr>
        <w:t xml:space="preserve"> built over many years</w:t>
      </w:r>
      <w:r w:rsidR="002413D0" w:rsidRPr="00AE1B0B">
        <w:rPr>
          <w:lang w:val="en-AU"/>
        </w:rPr>
        <w:t>,</w:t>
      </w:r>
      <w:r w:rsidR="003500AE" w:rsidRPr="00AE1B0B">
        <w:rPr>
          <w:lang w:val="en-AU"/>
        </w:rPr>
        <w:t xml:space="preserve"> including through the Australian NGO Cooperation Program (ANCP) and other programs. </w:t>
      </w:r>
      <w:bookmarkStart w:id="13" w:name="_Hlk499026936"/>
      <w:r w:rsidR="003500AE" w:rsidRPr="00AE1B0B">
        <w:rPr>
          <w:lang w:val="en-AU"/>
        </w:rPr>
        <w:t>The selection of AHP NGOs to the broader partnership reflects experience and technical specialisation across all aspects of the disaster management cycle. This includes disaster risk reduction and preparedness, disaster response and recovery. Disaster READY provides a clear and coherent funding window to the selected NGOs and their consorti</w:t>
      </w:r>
      <w:r w:rsidR="00340A86" w:rsidRPr="00AE1B0B">
        <w:rPr>
          <w:lang w:val="en-AU"/>
        </w:rPr>
        <w:t>um</w:t>
      </w:r>
      <w:r w:rsidR="003500AE" w:rsidRPr="00AE1B0B">
        <w:rPr>
          <w:lang w:val="en-AU"/>
        </w:rPr>
        <w:t xml:space="preserve"> partners to deliver holistic disaster management outcomes in the Pacific and </w:t>
      </w:r>
      <w:r w:rsidR="00F3172F" w:rsidRPr="00AE1B0B">
        <w:rPr>
          <w:lang w:val="en-AU"/>
        </w:rPr>
        <w:t>Timor-Leste</w:t>
      </w:r>
      <w:r w:rsidR="003500AE" w:rsidRPr="00AE1B0B">
        <w:rPr>
          <w:lang w:val="en-AU"/>
        </w:rPr>
        <w:t xml:space="preserve">. </w:t>
      </w:r>
      <w:bookmarkEnd w:id="13"/>
      <w:r w:rsidR="000C0164" w:rsidRPr="00AE1B0B">
        <w:rPr>
          <w:lang w:val="en-AU"/>
        </w:rPr>
        <w:br/>
      </w:r>
      <w:r w:rsidR="000C0164" w:rsidRPr="00AE1B0B">
        <w:rPr>
          <w:lang w:val="en-AU"/>
        </w:rPr>
        <w:br/>
      </w:r>
      <w:r w:rsidR="003500AE" w:rsidRPr="00AE1B0B">
        <w:rPr>
          <w:lang w:val="en-AU"/>
        </w:rPr>
        <w:t>Disaster READY is in line with the W</w:t>
      </w:r>
      <w:r w:rsidR="002110FF" w:rsidRPr="00AE1B0B">
        <w:rPr>
          <w:lang w:val="en-AU"/>
        </w:rPr>
        <w:t xml:space="preserve">HS </w:t>
      </w:r>
      <w:r w:rsidR="003500AE" w:rsidRPr="00AE1B0B">
        <w:rPr>
          <w:lang w:val="en-AU"/>
        </w:rPr>
        <w:t xml:space="preserve">Grand Bargain commitment to increase collaborative humanitarian multi-year planning and funding </w:t>
      </w:r>
      <w:r w:rsidRPr="00AE1B0B">
        <w:rPr>
          <w:lang w:val="en-AU"/>
        </w:rPr>
        <w:t>as well as</w:t>
      </w:r>
      <w:r w:rsidR="003500AE" w:rsidRPr="00AE1B0B">
        <w:rPr>
          <w:lang w:val="en-AU"/>
        </w:rPr>
        <w:t xml:space="preserve"> the shift in the Sendai Framework to longer-term development investments in </w:t>
      </w:r>
      <w:r w:rsidR="00BD3844" w:rsidRPr="00AE1B0B">
        <w:rPr>
          <w:lang w:val="en-AU"/>
        </w:rPr>
        <w:t>DRR</w:t>
      </w:r>
      <w:r w:rsidR="003500AE" w:rsidRPr="00AE1B0B">
        <w:rPr>
          <w:lang w:val="en-AU"/>
        </w:rPr>
        <w:t>.</w:t>
      </w:r>
      <w:r w:rsidR="00AF2D76" w:rsidRPr="00AE1B0B">
        <w:rPr>
          <w:lang w:val="en-AU"/>
        </w:rPr>
        <w:t xml:space="preserve"> Through this investment</w:t>
      </w:r>
      <w:r w:rsidR="002413D0" w:rsidRPr="00AE1B0B">
        <w:rPr>
          <w:lang w:val="en-AU"/>
        </w:rPr>
        <w:t>,</w:t>
      </w:r>
      <w:r w:rsidR="00AF2D76" w:rsidRPr="00AE1B0B">
        <w:rPr>
          <w:lang w:val="en-AU"/>
        </w:rPr>
        <w:t xml:space="preserve"> Australia meets its commitments under </w:t>
      </w:r>
      <w:r w:rsidR="005577AF" w:rsidRPr="00AE1B0B">
        <w:rPr>
          <w:lang w:val="en-AU"/>
        </w:rPr>
        <w:t xml:space="preserve">the </w:t>
      </w:r>
      <w:r w:rsidR="00AF2D76" w:rsidRPr="00AE1B0B">
        <w:rPr>
          <w:lang w:val="en-AU"/>
        </w:rPr>
        <w:t xml:space="preserve">Sendai </w:t>
      </w:r>
      <w:r w:rsidR="005577AF" w:rsidRPr="00AE1B0B">
        <w:rPr>
          <w:lang w:val="en-AU"/>
        </w:rPr>
        <w:t>Framework to provide adequate and sustainable support to developing countries</w:t>
      </w:r>
      <w:r w:rsidR="00100A2D" w:rsidRPr="00AE1B0B">
        <w:rPr>
          <w:lang w:val="en-AU"/>
        </w:rPr>
        <w:t xml:space="preserve"> </w:t>
      </w:r>
      <w:r w:rsidR="005577AF" w:rsidRPr="00AE1B0B">
        <w:rPr>
          <w:lang w:val="en-AU"/>
        </w:rPr>
        <w:t xml:space="preserve">to increase the number </w:t>
      </w:r>
      <w:r w:rsidR="002413D0" w:rsidRPr="00AE1B0B">
        <w:rPr>
          <w:lang w:val="en-AU"/>
        </w:rPr>
        <w:t xml:space="preserve">of </w:t>
      </w:r>
      <w:r w:rsidR="005577AF" w:rsidRPr="00AE1B0B">
        <w:rPr>
          <w:lang w:val="en-AU"/>
        </w:rPr>
        <w:t xml:space="preserve">local </w:t>
      </w:r>
      <w:r w:rsidR="00BD3844" w:rsidRPr="00AE1B0B">
        <w:rPr>
          <w:lang w:val="en-AU"/>
        </w:rPr>
        <w:t xml:space="preserve">DRR </w:t>
      </w:r>
      <w:r w:rsidR="005577AF" w:rsidRPr="00AE1B0B">
        <w:rPr>
          <w:lang w:val="en-AU"/>
        </w:rPr>
        <w:t>strategies</w:t>
      </w:r>
      <w:r w:rsidR="002413D0" w:rsidRPr="00AE1B0B">
        <w:rPr>
          <w:lang w:val="en-AU"/>
        </w:rPr>
        <w:t xml:space="preserve"> </w:t>
      </w:r>
      <w:r w:rsidR="005577AF" w:rsidRPr="00AE1B0B">
        <w:rPr>
          <w:lang w:val="en-AU"/>
        </w:rPr>
        <w:t xml:space="preserve">and </w:t>
      </w:r>
      <w:r w:rsidR="002413D0" w:rsidRPr="00AE1B0B">
        <w:rPr>
          <w:lang w:val="en-AU"/>
        </w:rPr>
        <w:t xml:space="preserve">to </w:t>
      </w:r>
      <w:r w:rsidR="005577AF" w:rsidRPr="00AE1B0B">
        <w:rPr>
          <w:lang w:val="en-AU"/>
        </w:rPr>
        <w:t>improve people’s access to early warning systems,</w:t>
      </w:r>
      <w:r w:rsidR="00BD3844" w:rsidRPr="00AE1B0B">
        <w:rPr>
          <w:lang w:val="en-AU"/>
        </w:rPr>
        <w:t xml:space="preserve"> and</w:t>
      </w:r>
      <w:r w:rsidR="005577AF" w:rsidRPr="00AE1B0B">
        <w:rPr>
          <w:lang w:val="en-AU"/>
        </w:rPr>
        <w:t xml:space="preserve"> disaster risk information and assessments.</w:t>
      </w:r>
      <w:r w:rsidR="005047F9" w:rsidRPr="00AE1B0B">
        <w:rPr>
          <w:lang w:val="en-AU"/>
        </w:rPr>
        <w:t xml:space="preserve"> </w:t>
      </w:r>
      <w:r w:rsidR="000C0164" w:rsidRPr="00AE1B0B">
        <w:rPr>
          <w:lang w:val="en-AU"/>
        </w:rPr>
        <w:br/>
      </w:r>
      <w:r w:rsidR="000C0164" w:rsidRPr="00AE1B0B">
        <w:rPr>
          <w:lang w:val="en-AU"/>
        </w:rPr>
        <w:br/>
      </w:r>
      <w:r w:rsidR="005047F9" w:rsidRPr="00AE1B0B">
        <w:rPr>
          <w:lang w:val="en-AU"/>
        </w:rPr>
        <w:t>Australia is committed to localisation. Working through NGOs is a key strategy to achiev</w:t>
      </w:r>
      <w:r w:rsidR="00BD3844" w:rsidRPr="00AE1B0B">
        <w:rPr>
          <w:lang w:val="en-AU"/>
        </w:rPr>
        <w:t>ing</w:t>
      </w:r>
      <w:r w:rsidR="005047F9" w:rsidRPr="00AE1B0B">
        <w:rPr>
          <w:lang w:val="en-AU"/>
        </w:rPr>
        <w:t xml:space="preserve"> this. Disaster READY is the prime vehicle for DFAT to support communities, local NGOs and faith</w:t>
      </w:r>
      <w:r w:rsidR="002413D0" w:rsidRPr="00AE1B0B">
        <w:rPr>
          <w:lang w:val="en-AU"/>
        </w:rPr>
        <w:t>-</w:t>
      </w:r>
      <w:r w:rsidR="005047F9" w:rsidRPr="00AE1B0B">
        <w:rPr>
          <w:lang w:val="en-AU"/>
        </w:rPr>
        <w:t>based organisations, national offices of INGOs</w:t>
      </w:r>
      <w:r w:rsidR="002413D0" w:rsidRPr="00AE1B0B">
        <w:rPr>
          <w:lang w:val="en-AU"/>
        </w:rPr>
        <w:t>,</w:t>
      </w:r>
      <w:r w:rsidR="005047F9" w:rsidRPr="00AE1B0B">
        <w:rPr>
          <w:lang w:val="en-AU"/>
        </w:rPr>
        <w:t xml:space="preserve"> and national and local disaster management agencies to improve their ability to influence and lead disaster response</w:t>
      </w:r>
      <w:r w:rsidR="00184C47" w:rsidRPr="00AE1B0B">
        <w:rPr>
          <w:rStyle w:val="FootnoteReference"/>
          <w:lang w:val="en-AU"/>
        </w:rPr>
        <w:footnoteReference w:id="29"/>
      </w:r>
      <w:r w:rsidR="005047F9" w:rsidRPr="00AE1B0B">
        <w:rPr>
          <w:lang w:val="en-AU"/>
        </w:rPr>
        <w:t xml:space="preserve">. Disaster READY is the only DFAT regional program focusing on </w:t>
      </w:r>
      <w:r w:rsidR="005047F9" w:rsidRPr="00AE1B0B">
        <w:rPr>
          <w:lang w:val="en-AU"/>
        </w:rPr>
        <w:lastRenderedPageBreak/>
        <w:t>humanitarian preparedness and localisation at community level, outside of some commitments made by NGOs through their ANCP activities.</w:t>
      </w:r>
      <w:r w:rsidR="000C0164" w:rsidRPr="00AE1B0B">
        <w:rPr>
          <w:lang w:val="en-AU"/>
        </w:rPr>
        <w:br/>
      </w:r>
      <w:r w:rsidR="000C0164" w:rsidRPr="00AE1B0B">
        <w:rPr>
          <w:lang w:val="en-AU"/>
        </w:rPr>
        <w:br/>
      </w:r>
      <w:r w:rsidR="003500AE" w:rsidRPr="00AE1B0B">
        <w:rPr>
          <w:lang w:val="en-AU"/>
        </w:rPr>
        <w:t>DFAT’s Humanitarian Partnership Agreement</w:t>
      </w:r>
      <w:r w:rsidR="003500AE" w:rsidRPr="00AE1B0B">
        <w:rPr>
          <w:vertAlign w:val="superscript"/>
          <w:lang w:val="en-AU"/>
        </w:rPr>
        <w:footnoteReference w:id="30"/>
      </w:r>
      <w:r w:rsidR="003500AE" w:rsidRPr="00AE1B0B">
        <w:rPr>
          <w:lang w:val="en-AU"/>
        </w:rPr>
        <w:t xml:space="preserve"> (HPA) program (2011</w:t>
      </w:r>
      <w:r w:rsidR="00D61ACB" w:rsidRPr="00AE1B0B">
        <w:rPr>
          <w:lang w:val="en-AU"/>
        </w:rPr>
        <w:t>–</w:t>
      </w:r>
      <w:r w:rsidR="003500AE" w:rsidRPr="00AE1B0B">
        <w:rPr>
          <w:lang w:val="en-AU"/>
        </w:rPr>
        <w:t>2016) supported NGOs to work on DRR through short</w:t>
      </w:r>
      <w:r w:rsidR="00D61ACB" w:rsidRPr="00AE1B0B">
        <w:rPr>
          <w:lang w:val="en-AU"/>
        </w:rPr>
        <w:t>-</w:t>
      </w:r>
      <w:r w:rsidR="003500AE" w:rsidRPr="00AE1B0B">
        <w:rPr>
          <w:lang w:val="en-AU"/>
        </w:rPr>
        <w:t xml:space="preserve">term (annual) funding. </w:t>
      </w:r>
      <w:proofErr w:type="gramStart"/>
      <w:r w:rsidR="003500AE" w:rsidRPr="00AE1B0B">
        <w:rPr>
          <w:lang w:val="en-AU"/>
        </w:rPr>
        <w:t>A number of</w:t>
      </w:r>
      <w:proofErr w:type="gramEnd"/>
      <w:r w:rsidR="003500AE" w:rsidRPr="00AE1B0B">
        <w:rPr>
          <w:lang w:val="en-AU"/>
        </w:rPr>
        <w:t xml:space="preserve"> standalone</w:t>
      </w:r>
      <w:r w:rsidR="002413D0" w:rsidRPr="00AE1B0B">
        <w:rPr>
          <w:lang w:val="en-AU"/>
        </w:rPr>
        <w:t xml:space="preserve"> </w:t>
      </w:r>
      <w:r w:rsidR="003500AE" w:rsidRPr="00AE1B0B">
        <w:rPr>
          <w:lang w:val="en-AU"/>
        </w:rPr>
        <w:t>activities were delivered across the world</w:t>
      </w:r>
      <w:r w:rsidR="00BD3844" w:rsidRPr="00AE1B0B">
        <w:rPr>
          <w:lang w:val="en-AU"/>
        </w:rPr>
        <w:t>. M</w:t>
      </w:r>
      <w:r w:rsidR="003500AE" w:rsidRPr="00AE1B0B">
        <w:rPr>
          <w:lang w:val="en-AU"/>
        </w:rPr>
        <w:t xml:space="preserve">any </w:t>
      </w:r>
      <w:r w:rsidR="00BD3844" w:rsidRPr="00AE1B0B">
        <w:rPr>
          <w:lang w:val="en-AU"/>
        </w:rPr>
        <w:t xml:space="preserve">of these </w:t>
      </w:r>
      <w:r w:rsidR="003500AE" w:rsidRPr="00AE1B0B">
        <w:rPr>
          <w:lang w:val="en-AU"/>
        </w:rPr>
        <w:t xml:space="preserve">were successful but not scaled up or linked to broader systematic change in disaster </w:t>
      </w:r>
      <w:r w:rsidR="007869C0" w:rsidRPr="00AE1B0B">
        <w:rPr>
          <w:lang w:val="en-AU"/>
        </w:rPr>
        <w:t xml:space="preserve">risk </w:t>
      </w:r>
      <w:r w:rsidR="003500AE" w:rsidRPr="00AE1B0B">
        <w:rPr>
          <w:lang w:val="en-AU"/>
        </w:rPr>
        <w:t>management or development programs. Disaster READY builds on the achievements of the HPA and addresses the constraints. Disaster READY has increased the timeframe for delivery to four</w:t>
      </w:r>
      <w:r w:rsidR="00A45EEA" w:rsidRPr="00AE1B0B">
        <w:rPr>
          <w:lang w:val="en-AU"/>
        </w:rPr>
        <w:t xml:space="preserve"> </w:t>
      </w:r>
      <w:r w:rsidR="003500AE" w:rsidRPr="00AE1B0B">
        <w:rPr>
          <w:lang w:val="en-AU"/>
        </w:rPr>
        <w:t>and</w:t>
      </w:r>
      <w:r w:rsidR="00A45EEA" w:rsidRPr="00AE1B0B">
        <w:rPr>
          <w:lang w:val="en-AU"/>
        </w:rPr>
        <w:t xml:space="preserve"> </w:t>
      </w:r>
      <w:r w:rsidR="003500AE" w:rsidRPr="00AE1B0B">
        <w:rPr>
          <w:lang w:val="en-AU"/>
        </w:rPr>
        <w:t>a</w:t>
      </w:r>
      <w:r w:rsidR="00A45EEA" w:rsidRPr="00AE1B0B">
        <w:rPr>
          <w:lang w:val="en-AU"/>
        </w:rPr>
        <w:t xml:space="preserve"> </w:t>
      </w:r>
      <w:r w:rsidR="003500AE" w:rsidRPr="00AE1B0B">
        <w:rPr>
          <w:lang w:val="en-AU"/>
        </w:rPr>
        <w:t xml:space="preserve">half years, </w:t>
      </w:r>
      <w:r w:rsidR="00524F9E" w:rsidRPr="00AE1B0B">
        <w:rPr>
          <w:lang w:val="en-AU"/>
        </w:rPr>
        <w:t xml:space="preserve">has </w:t>
      </w:r>
      <w:r w:rsidR="003500AE" w:rsidRPr="00AE1B0B">
        <w:rPr>
          <w:lang w:val="en-AU"/>
        </w:rPr>
        <w:t>doubled the funding available</w:t>
      </w:r>
      <w:r w:rsidR="00524F9E" w:rsidRPr="00AE1B0B">
        <w:rPr>
          <w:lang w:val="en-AU"/>
        </w:rPr>
        <w:t>,</w:t>
      </w:r>
      <w:r w:rsidR="003500AE" w:rsidRPr="00AE1B0B">
        <w:rPr>
          <w:lang w:val="en-AU"/>
        </w:rPr>
        <w:t xml:space="preserve"> and </w:t>
      </w:r>
      <w:r w:rsidR="00524F9E" w:rsidRPr="00AE1B0B">
        <w:rPr>
          <w:lang w:val="en-AU"/>
        </w:rPr>
        <w:t xml:space="preserve">has </w:t>
      </w:r>
      <w:r w:rsidR="003500AE" w:rsidRPr="00AE1B0B">
        <w:rPr>
          <w:lang w:val="en-AU"/>
        </w:rPr>
        <w:t>identified countries in the Pacific and Timor-Leste to enable a more context-driven</w:t>
      </w:r>
      <w:r w:rsidR="00BD3844" w:rsidRPr="00AE1B0B">
        <w:rPr>
          <w:lang w:val="en-AU"/>
        </w:rPr>
        <w:t xml:space="preserve"> and</w:t>
      </w:r>
      <w:r w:rsidR="003500AE" w:rsidRPr="00AE1B0B">
        <w:rPr>
          <w:lang w:val="en-AU"/>
        </w:rPr>
        <w:t xml:space="preserve"> systematic approach to achieve change. </w:t>
      </w:r>
      <w:r w:rsidR="000C0164" w:rsidRPr="00AE1B0B">
        <w:rPr>
          <w:lang w:val="en-AU"/>
        </w:rPr>
        <w:br/>
      </w:r>
      <w:r w:rsidR="000C0164" w:rsidRPr="00AE1B0B">
        <w:rPr>
          <w:lang w:val="en-AU"/>
        </w:rPr>
        <w:br/>
      </w:r>
      <w:r w:rsidR="003500AE" w:rsidRPr="00AE1B0B">
        <w:rPr>
          <w:lang w:val="en-AU"/>
        </w:rPr>
        <w:t>The delivery approach for Disaster READY</w:t>
      </w:r>
      <w:r w:rsidR="00BD3844" w:rsidRPr="00AE1B0B">
        <w:rPr>
          <w:lang w:val="en-AU"/>
        </w:rPr>
        <w:t xml:space="preserve"> – </w:t>
      </w:r>
      <w:r w:rsidR="003500AE" w:rsidRPr="00AE1B0B">
        <w:rPr>
          <w:lang w:val="en-AU"/>
        </w:rPr>
        <w:t xml:space="preserve">with </w:t>
      </w:r>
      <w:proofErr w:type="gramStart"/>
      <w:r w:rsidR="003500AE" w:rsidRPr="00AE1B0B">
        <w:rPr>
          <w:lang w:val="en-AU"/>
        </w:rPr>
        <w:t>a large number of</w:t>
      </w:r>
      <w:proofErr w:type="gramEnd"/>
      <w:r w:rsidR="003500AE" w:rsidRPr="00AE1B0B">
        <w:rPr>
          <w:lang w:val="en-AU"/>
        </w:rPr>
        <w:t xml:space="preserve"> preselected AHP NGO consortia</w:t>
      </w:r>
      <w:r w:rsidR="00BD3844" w:rsidRPr="00AE1B0B">
        <w:rPr>
          <w:lang w:val="en-AU"/>
        </w:rPr>
        <w:t xml:space="preserve"> – </w:t>
      </w:r>
      <w:r w:rsidR="003500AE" w:rsidRPr="00AE1B0B">
        <w:rPr>
          <w:lang w:val="en-AU"/>
        </w:rPr>
        <w:t>does give rise to a continued risk of fragmentation and duplication</w:t>
      </w:r>
      <w:r w:rsidR="003500AE" w:rsidRPr="00AE1B0B">
        <w:rPr>
          <w:vertAlign w:val="superscript"/>
          <w:lang w:val="en-AU"/>
        </w:rPr>
        <w:footnoteReference w:id="31"/>
      </w:r>
      <w:r w:rsidR="003500AE" w:rsidRPr="00AE1B0B">
        <w:rPr>
          <w:lang w:val="en-AU"/>
        </w:rPr>
        <w:t>. The program takes a geographic and thematic focus to concentrate resources and support well-coordinated, systematic interventions. This will also be a central consideration for the annual review and assessment by the NGOs in each country</w:t>
      </w:r>
      <w:r w:rsidR="00BD3844" w:rsidRPr="00AE1B0B">
        <w:rPr>
          <w:lang w:val="en-AU"/>
        </w:rPr>
        <w:t xml:space="preserve"> </w:t>
      </w:r>
      <w:r w:rsidR="003500AE" w:rsidRPr="00AE1B0B">
        <w:rPr>
          <w:lang w:val="en-AU"/>
        </w:rPr>
        <w:t xml:space="preserve">and </w:t>
      </w:r>
      <w:r w:rsidR="00804F32" w:rsidRPr="00AE1B0B">
        <w:rPr>
          <w:lang w:val="en-AU"/>
        </w:rPr>
        <w:t xml:space="preserve">by </w:t>
      </w:r>
      <w:r w:rsidR="003500AE" w:rsidRPr="00AE1B0B">
        <w:rPr>
          <w:lang w:val="en-AU"/>
        </w:rPr>
        <w:t>the Steering Committee.</w:t>
      </w:r>
      <w:r w:rsidR="000C0164" w:rsidRPr="00AE1B0B">
        <w:rPr>
          <w:lang w:val="en-AU"/>
        </w:rPr>
        <w:br/>
      </w:r>
      <w:r w:rsidR="000C0164" w:rsidRPr="00AE1B0B">
        <w:rPr>
          <w:lang w:val="en-AU"/>
        </w:rPr>
        <w:br/>
      </w:r>
      <w:r w:rsidR="003500AE" w:rsidRPr="00AE1B0B">
        <w:rPr>
          <w:lang w:val="en-AU"/>
        </w:rPr>
        <w:t>NGO interventions in the five focus countries are designed to complement rather than duplicate bilateral and regional efforts, and Disaster READY seeks to leverage and support other resilience programming, including DFAT climate change investments.</w:t>
      </w:r>
    </w:p>
    <w:p w14:paraId="02F73A59" w14:textId="77777777" w:rsidR="00037D63" w:rsidRPr="00AE1B0B" w:rsidRDefault="00037D63" w:rsidP="003500AE">
      <w:pPr>
        <w:spacing w:after="120" w:line="276" w:lineRule="auto"/>
        <w:rPr>
          <w:lang w:val="en-AU"/>
        </w:rPr>
      </w:pPr>
    </w:p>
    <w:p w14:paraId="48E9FC0D" w14:textId="035DE667" w:rsidR="004979D5" w:rsidRPr="00AE1B0B" w:rsidRDefault="0017113D" w:rsidP="008C1169">
      <w:pPr>
        <w:pStyle w:val="Heading2"/>
        <w:rPr>
          <w:rFonts w:ascii="Calibri" w:hAnsi="Calibri" w:cs="Calibri"/>
          <w:lang w:val="en-AU"/>
        </w:rPr>
      </w:pPr>
      <w:bookmarkStart w:id="14" w:name="_Toc501451662"/>
      <w:r w:rsidRPr="00AE1B0B">
        <w:rPr>
          <w:rFonts w:ascii="Calibri" w:hAnsi="Calibri" w:cs="Calibri"/>
          <w:lang w:val="en-AU"/>
        </w:rPr>
        <w:t>Geographic Focus</w:t>
      </w:r>
      <w:bookmarkEnd w:id="14"/>
    </w:p>
    <w:p w14:paraId="1CC504C7" w14:textId="267B1677" w:rsidR="009B2AA2" w:rsidRPr="00AE1B0B" w:rsidRDefault="009B2AA2" w:rsidP="009B2AA2">
      <w:pPr>
        <w:spacing w:after="120" w:line="276" w:lineRule="auto"/>
        <w:rPr>
          <w:lang w:val="en-AU"/>
        </w:rPr>
      </w:pPr>
      <w:r w:rsidRPr="00AE1B0B">
        <w:rPr>
          <w:lang w:val="en-AU"/>
        </w:rPr>
        <w:t xml:space="preserve">Disaster READY will focus its resources and effort on five countries which have high strategic interest to DFAT, high </w:t>
      </w:r>
      <w:r w:rsidR="00804F32" w:rsidRPr="00AE1B0B">
        <w:rPr>
          <w:lang w:val="en-AU"/>
        </w:rPr>
        <w:t xml:space="preserve">disaster </w:t>
      </w:r>
      <w:r w:rsidRPr="00AE1B0B">
        <w:rPr>
          <w:lang w:val="en-AU"/>
        </w:rPr>
        <w:t>risk ratings</w:t>
      </w:r>
      <w:r w:rsidR="00524F9E" w:rsidRPr="00AE1B0B">
        <w:rPr>
          <w:lang w:val="en-AU"/>
        </w:rPr>
        <w:t>,</w:t>
      </w:r>
      <w:r w:rsidRPr="00AE1B0B">
        <w:rPr>
          <w:lang w:val="en-AU"/>
        </w:rPr>
        <w:t xml:space="preserve"> and existing strong presence and engagement of AHP NGOs. According to the World Risk Report</w:t>
      </w:r>
      <w:r w:rsidRPr="00AE1B0B">
        <w:rPr>
          <w:rStyle w:val="FootnoteReference"/>
          <w:lang w:val="en-AU"/>
        </w:rPr>
        <w:footnoteReference w:id="32"/>
      </w:r>
      <w:r w:rsidRPr="00AE1B0B">
        <w:rPr>
          <w:lang w:val="en-AU"/>
        </w:rPr>
        <w:t>, the five Disaster READY countries are among the top 1</w:t>
      </w:r>
      <w:r w:rsidR="00E04824" w:rsidRPr="00AE1B0B">
        <w:rPr>
          <w:lang w:val="en-AU"/>
        </w:rPr>
        <w:t>5</w:t>
      </w:r>
      <w:r w:rsidRPr="00AE1B0B">
        <w:rPr>
          <w:lang w:val="en-AU"/>
        </w:rPr>
        <w:t xml:space="preserve"> countries worldwide that are most at risk to disasters. </w:t>
      </w:r>
      <w:r w:rsidRPr="00AE1B0B">
        <w:rPr>
          <w:b/>
          <w:lang w:val="en-AU"/>
        </w:rPr>
        <w:t>Vanuatu</w:t>
      </w:r>
      <w:r w:rsidRPr="00AE1B0B">
        <w:rPr>
          <w:lang w:val="en-AU"/>
        </w:rPr>
        <w:t xml:space="preserve"> was ranked the world’s most at-risk country, </w:t>
      </w:r>
      <w:r w:rsidRPr="00AE1B0B">
        <w:rPr>
          <w:b/>
          <w:lang w:val="en-AU"/>
        </w:rPr>
        <w:t>Solomon Islands</w:t>
      </w:r>
      <w:r w:rsidRPr="00AE1B0B">
        <w:rPr>
          <w:lang w:val="en-AU"/>
        </w:rPr>
        <w:t xml:space="preserve"> (6), </w:t>
      </w:r>
      <w:r w:rsidR="00F3172F" w:rsidRPr="00AE1B0B">
        <w:rPr>
          <w:b/>
          <w:lang w:val="en-AU"/>
        </w:rPr>
        <w:t>Timor-Leste</w:t>
      </w:r>
      <w:r w:rsidRPr="00AE1B0B">
        <w:rPr>
          <w:lang w:val="en-AU"/>
        </w:rPr>
        <w:t xml:space="preserve"> (10), </w:t>
      </w:r>
      <w:r w:rsidR="00E04824" w:rsidRPr="00AE1B0B">
        <w:rPr>
          <w:b/>
          <w:lang w:val="en-AU"/>
        </w:rPr>
        <w:t>PNG</w:t>
      </w:r>
      <w:r w:rsidRPr="00AE1B0B">
        <w:rPr>
          <w:lang w:val="en-AU"/>
        </w:rPr>
        <w:t xml:space="preserve"> (11) and </w:t>
      </w:r>
      <w:r w:rsidRPr="00AE1B0B">
        <w:rPr>
          <w:b/>
          <w:lang w:val="en-AU"/>
        </w:rPr>
        <w:t>Fiji</w:t>
      </w:r>
      <w:r w:rsidRPr="00AE1B0B">
        <w:rPr>
          <w:lang w:val="en-AU"/>
        </w:rPr>
        <w:t xml:space="preserve"> (1</w:t>
      </w:r>
      <w:r w:rsidR="00E04824" w:rsidRPr="00AE1B0B">
        <w:rPr>
          <w:lang w:val="en-AU"/>
        </w:rPr>
        <w:t>5</w:t>
      </w:r>
      <w:r w:rsidRPr="00AE1B0B">
        <w:rPr>
          <w:lang w:val="en-AU"/>
        </w:rPr>
        <w:t xml:space="preserve">). Underpinning the approach is a foundation of: </w:t>
      </w:r>
    </w:p>
    <w:p w14:paraId="4D54FEB7" w14:textId="77777777" w:rsidR="009B2AA2" w:rsidRPr="00AE1B0B" w:rsidRDefault="009B2AA2" w:rsidP="009B2AA2">
      <w:pPr>
        <w:pStyle w:val="ListParagraph"/>
        <w:numPr>
          <w:ilvl w:val="0"/>
          <w:numId w:val="33"/>
        </w:numPr>
        <w:spacing w:after="120" w:line="276" w:lineRule="auto"/>
      </w:pPr>
      <w:r w:rsidRPr="00AE1B0B">
        <w:t xml:space="preserve">DFAT Post engagement in the ongoing direction and implementation; </w:t>
      </w:r>
    </w:p>
    <w:p w14:paraId="50BC83B4" w14:textId="277B4002" w:rsidR="009B2AA2" w:rsidRPr="00AE1B0B" w:rsidRDefault="00885F6B" w:rsidP="009B2AA2">
      <w:pPr>
        <w:pStyle w:val="ListParagraph"/>
        <w:numPr>
          <w:ilvl w:val="0"/>
          <w:numId w:val="33"/>
        </w:numPr>
        <w:spacing w:after="120" w:line="276" w:lineRule="auto"/>
      </w:pPr>
      <w:r w:rsidRPr="00AE1B0B">
        <w:t>c</w:t>
      </w:r>
      <w:r w:rsidR="009B2AA2" w:rsidRPr="00AE1B0B">
        <w:t xml:space="preserve">ontinuing NGO coordination and collaboration at national levels; and </w:t>
      </w:r>
    </w:p>
    <w:p w14:paraId="6B156655" w14:textId="3DF940B1" w:rsidR="009B2AA2" w:rsidRPr="00AE1B0B" w:rsidRDefault="00885F6B" w:rsidP="009B2AA2">
      <w:pPr>
        <w:pStyle w:val="ListParagraph"/>
        <w:numPr>
          <w:ilvl w:val="0"/>
          <w:numId w:val="33"/>
        </w:numPr>
        <w:spacing w:after="120" w:line="276" w:lineRule="auto"/>
      </w:pPr>
      <w:r w:rsidRPr="00AE1B0B">
        <w:t>c</w:t>
      </w:r>
      <w:r w:rsidR="009B2AA2" w:rsidRPr="00AE1B0B">
        <w:t xml:space="preserve">ontinued buy-in and engagement by local partners in the program. </w:t>
      </w:r>
    </w:p>
    <w:p w14:paraId="3BCA0209" w14:textId="345585F1" w:rsidR="00657E60" w:rsidRPr="00394C86" w:rsidRDefault="000C0164" w:rsidP="009B2AA2">
      <w:pPr>
        <w:spacing w:after="120" w:line="276" w:lineRule="auto"/>
        <w:rPr>
          <w:lang w:val="en-AU"/>
        </w:rPr>
      </w:pPr>
      <w:r w:rsidRPr="00AE1B0B">
        <w:rPr>
          <w:lang w:val="en-AU"/>
        </w:rPr>
        <w:br/>
      </w:r>
      <w:r w:rsidR="009B2AA2" w:rsidRPr="00AE1B0B">
        <w:rPr>
          <w:lang w:val="en-AU"/>
        </w:rPr>
        <w:t>These (and other criteria) will be assessed annually at country level and across the overall program, and resources may be shifted to higher</w:t>
      </w:r>
      <w:r w:rsidR="00FE36B2" w:rsidRPr="00AE1B0B">
        <w:rPr>
          <w:lang w:val="en-AU"/>
        </w:rPr>
        <w:t>-</w:t>
      </w:r>
      <w:r w:rsidR="009B2AA2" w:rsidRPr="00AE1B0B">
        <w:rPr>
          <w:lang w:val="en-AU"/>
        </w:rPr>
        <w:t>performance countries based on this assessment (see Monitoring and Evaluation section).</w:t>
      </w:r>
      <w:r w:rsidRPr="00AE1B0B">
        <w:rPr>
          <w:lang w:val="en-AU"/>
        </w:rPr>
        <w:br/>
      </w:r>
      <w:r w:rsidRPr="00AE1B0B">
        <w:rPr>
          <w:lang w:val="en-AU"/>
        </w:rPr>
        <w:lastRenderedPageBreak/>
        <w:br/>
      </w:r>
      <w:r w:rsidR="009B2AA2" w:rsidRPr="00AE1B0B">
        <w:rPr>
          <w:lang w:val="en-AU"/>
        </w:rPr>
        <w:t>The focus on five countries notwithstanding, demand and need for investment in DRR is high right across the Pacific</w:t>
      </w:r>
      <w:r w:rsidR="00BD3844" w:rsidRPr="00AE1B0B">
        <w:rPr>
          <w:lang w:val="en-AU"/>
        </w:rPr>
        <w:t>.</w:t>
      </w:r>
      <w:r w:rsidR="009B2AA2" w:rsidRPr="00AE1B0B">
        <w:rPr>
          <w:lang w:val="en-AU"/>
        </w:rPr>
        <w:t xml:space="preserve"> </w:t>
      </w:r>
      <w:r w:rsidR="00BD3844" w:rsidRPr="00AE1B0B">
        <w:rPr>
          <w:lang w:val="en-AU"/>
        </w:rPr>
        <w:t>T</w:t>
      </w:r>
      <w:r w:rsidR="009B2AA2" w:rsidRPr="00AE1B0B">
        <w:rPr>
          <w:lang w:val="en-AU"/>
        </w:rPr>
        <w:t xml:space="preserve">he program has </w:t>
      </w:r>
      <w:r w:rsidR="00BD3844" w:rsidRPr="00AE1B0B">
        <w:rPr>
          <w:lang w:val="en-AU"/>
        </w:rPr>
        <w:t xml:space="preserve">therefore </w:t>
      </w:r>
      <w:r w:rsidR="009B2AA2" w:rsidRPr="00AE1B0B">
        <w:rPr>
          <w:lang w:val="en-AU"/>
        </w:rPr>
        <w:t>built</w:t>
      </w:r>
      <w:r w:rsidR="00FE36B2" w:rsidRPr="00AE1B0B">
        <w:rPr>
          <w:lang w:val="en-AU"/>
        </w:rPr>
        <w:t xml:space="preserve"> </w:t>
      </w:r>
      <w:r w:rsidR="009B2AA2" w:rsidRPr="00AE1B0B">
        <w:rPr>
          <w:lang w:val="en-AU"/>
        </w:rPr>
        <w:t>in a degree of resourcing to allow investments in other Pacific countries through a competitive grants window</w:t>
      </w:r>
      <w:r w:rsidR="00FE36B2" w:rsidRPr="00AE1B0B">
        <w:rPr>
          <w:lang w:val="en-AU"/>
        </w:rPr>
        <w:t>,</w:t>
      </w:r>
      <w:r w:rsidR="009B2AA2" w:rsidRPr="00AE1B0B">
        <w:rPr>
          <w:lang w:val="en-AU"/>
        </w:rPr>
        <w:t xml:space="preserve"> the Disaster READY </w:t>
      </w:r>
      <w:r w:rsidR="00BD3844" w:rsidRPr="00AE1B0B">
        <w:rPr>
          <w:lang w:val="en-AU"/>
        </w:rPr>
        <w:t>PPF</w:t>
      </w:r>
      <w:r w:rsidR="00235410" w:rsidRPr="00AE1B0B">
        <w:rPr>
          <w:lang w:val="en-AU"/>
        </w:rPr>
        <w:t xml:space="preserve"> (round two)</w:t>
      </w:r>
      <w:r w:rsidR="009B2AA2" w:rsidRPr="00AE1B0B">
        <w:rPr>
          <w:lang w:val="en-AU"/>
        </w:rPr>
        <w:t xml:space="preserve">, and in </w:t>
      </w:r>
      <w:r w:rsidR="0028437D" w:rsidRPr="00AE1B0B">
        <w:rPr>
          <w:lang w:val="en-AU"/>
        </w:rPr>
        <w:t xml:space="preserve">a potential </w:t>
      </w:r>
      <w:r w:rsidR="009B2AA2" w:rsidRPr="00AE1B0B">
        <w:rPr>
          <w:lang w:val="en-AU"/>
        </w:rPr>
        <w:t xml:space="preserve">phase two of AHP (2022 onwards). </w:t>
      </w:r>
    </w:p>
    <w:p w14:paraId="7F511862" w14:textId="3F29F386" w:rsidR="00447153" w:rsidRPr="00394C86" w:rsidRDefault="00447153" w:rsidP="009B2AA2">
      <w:pPr>
        <w:spacing w:after="120" w:line="276" w:lineRule="auto"/>
        <w:rPr>
          <w:lang w:val="en-AU"/>
        </w:rPr>
      </w:pPr>
    </w:p>
    <w:p w14:paraId="7849CEF5" w14:textId="77777777" w:rsidR="00447153" w:rsidRPr="00394C86" w:rsidRDefault="00447153" w:rsidP="00447153">
      <w:pPr>
        <w:pStyle w:val="Heading2"/>
        <w:rPr>
          <w:rFonts w:ascii="Calibri" w:hAnsi="Calibri" w:cs="Calibri"/>
          <w:lang w:val="en-AU"/>
        </w:rPr>
      </w:pPr>
      <w:bookmarkStart w:id="15" w:name="_Toc501451663"/>
      <w:r w:rsidRPr="00394C86">
        <w:rPr>
          <w:rFonts w:ascii="Calibri" w:hAnsi="Calibri" w:cs="Calibri"/>
          <w:lang w:val="en-AU"/>
        </w:rPr>
        <w:t>Thematic Focus</w:t>
      </w:r>
      <w:bookmarkEnd w:id="15"/>
      <w:r w:rsidRPr="00394C86">
        <w:rPr>
          <w:rFonts w:ascii="Calibri" w:hAnsi="Calibri" w:cs="Calibri"/>
          <w:lang w:val="en-AU"/>
        </w:rPr>
        <w:t xml:space="preserve"> </w:t>
      </w:r>
    </w:p>
    <w:p w14:paraId="4AF9568F" w14:textId="038CAE36" w:rsidR="0060166F" w:rsidRDefault="009B2AA2">
      <w:pPr>
        <w:rPr>
          <w:b/>
          <w:i/>
          <w:color w:val="0673A5" w:themeColor="text2" w:themeShade="BF"/>
          <w:lang w:val="en-AU"/>
        </w:rPr>
      </w:pPr>
      <w:r w:rsidRPr="00AE1B0B">
        <w:rPr>
          <w:lang w:val="en-AU"/>
        </w:rPr>
        <w:t xml:space="preserve">The Framework for Resilient Development in the Pacific (FRDP) details the disaster cycle faced by member countries. It identifies a broad range of possible interventions from prevention through to response and </w:t>
      </w:r>
      <w:proofErr w:type="gramStart"/>
      <w:r w:rsidRPr="00AE1B0B">
        <w:rPr>
          <w:lang w:val="en-AU"/>
        </w:rPr>
        <w:t>reconstruction</w:t>
      </w:r>
      <w:r w:rsidR="00BD3844" w:rsidRPr="00AE1B0B">
        <w:rPr>
          <w:lang w:val="en-AU"/>
        </w:rPr>
        <w:t>,</w:t>
      </w:r>
      <w:r w:rsidR="00C44D2E" w:rsidRPr="00AE1B0B">
        <w:rPr>
          <w:lang w:val="en-AU"/>
        </w:rPr>
        <w:t xml:space="preserve"> and</w:t>
      </w:r>
      <w:proofErr w:type="gramEnd"/>
      <w:r w:rsidR="00C44D2E" w:rsidRPr="00AE1B0B">
        <w:rPr>
          <w:lang w:val="en-AU"/>
        </w:rPr>
        <w:t xml:space="preserve"> demonstrates how disaster and climate change actions can be integrated</w:t>
      </w:r>
      <w:r w:rsidRPr="00AE1B0B">
        <w:rPr>
          <w:lang w:val="en-AU"/>
        </w:rPr>
        <w:t>. The FRDP potential interventions at each stage of the cycle have informed this design and are summarised below</w:t>
      </w:r>
      <w:r w:rsidRPr="00AE1B0B">
        <w:rPr>
          <w:rStyle w:val="FootnoteReference"/>
          <w:lang w:val="en-AU"/>
        </w:rPr>
        <w:footnoteReference w:id="33"/>
      </w:r>
      <w:r w:rsidR="006A0583" w:rsidRPr="00AE1B0B">
        <w:rPr>
          <w:lang w:val="en-AU"/>
        </w:rPr>
        <w:t xml:space="preserve"> in Figure 1</w:t>
      </w:r>
      <w:r w:rsidR="00524E85" w:rsidRPr="00AE1B0B">
        <w:rPr>
          <w:lang w:val="en-AU"/>
        </w:rPr>
        <w:t>,</w:t>
      </w:r>
      <w:r w:rsidR="006A0583" w:rsidRPr="00AE1B0B">
        <w:rPr>
          <w:lang w:val="en-AU"/>
        </w:rPr>
        <w:t xml:space="preserve"> which</w:t>
      </w:r>
      <w:r w:rsidR="00C44D2E" w:rsidRPr="00AE1B0B">
        <w:rPr>
          <w:lang w:val="en-AU"/>
        </w:rPr>
        <w:t xml:space="preserve"> shows the </w:t>
      </w:r>
      <w:r w:rsidR="00C0680C" w:rsidRPr="00AE1B0B">
        <w:rPr>
          <w:lang w:val="en-AU"/>
        </w:rPr>
        <w:t xml:space="preserve">spectrum of interventions from both disaster and climate change </w:t>
      </w:r>
      <w:r w:rsidR="006A0583" w:rsidRPr="00AE1B0B">
        <w:rPr>
          <w:lang w:val="en-AU"/>
        </w:rPr>
        <w:t>persp</w:t>
      </w:r>
      <w:r w:rsidR="00C0680C" w:rsidRPr="00AE1B0B">
        <w:rPr>
          <w:lang w:val="en-AU"/>
        </w:rPr>
        <w:t>ectives.</w:t>
      </w:r>
      <w:r w:rsidR="00394C86" w:rsidRPr="00394C86">
        <w:rPr>
          <w:b/>
          <w:i/>
          <w:color w:val="0673A5" w:themeColor="text2" w:themeShade="BF"/>
          <w:lang w:val="en-AU"/>
        </w:rPr>
        <w:br/>
      </w:r>
      <w:r w:rsidR="00394C86" w:rsidRPr="00394C86">
        <w:rPr>
          <w:b/>
          <w:i/>
          <w:color w:val="0673A5" w:themeColor="text2" w:themeShade="BF"/>
          <w:lang w:val="en-AU"/>
        </w:rPr>
        <w:br/>
      </w:r>
    </w:p>
    <w:p w14:paraId="47040BE2" w14:textId="52EEE89B" w:rsidR="004E3968" w:rsidRDefault="004E3968">
      <w:pPr>
        <w:rPr>
          <w:b/>
          <w:i/>
          <w:color w:val="0673A5" w:themeColor="text2" w:themeShade="BF"/>
          <w:lang w:val="en-AU"/>
        </w:rPr>
      </w:pPr>
      <w:r>
        <w:rPr>
          <w:b/>
          <w:i/>
          <w:color w:val="0673A5" w:themeColor="text2" w:themeShade="BF"/>
          <w:lang w:val="en-AU"/>
        </w:rPr>
        <w:br w:type="page"/>
      </w:r>
    </w:p>
    <w:p w14:paraId="66A2C62D" w14:textId="437A6ECC" w:rsidR="006A0583" w:rsidRPr="00394C86" w:rsidRDefault="006A0583" w:rsidP="00AE1B0B">
      <w:pPr>
        <w:rPr>
          <w:b/>
          <w:i/>
          <w:color w:val="0673A5" w:themeColor="text2" w:themeShade="BF"/>
          <w:lang w:val="en-AU"/>
        </w:rPr>
      </w:pPr>
      <w:r w:rsidRPr="00394C86">
        <w:rPr>
          <w:b/>
          <w:i/>
          <w:color w:val="0673A5" w:themeColor="text2" w:themeShade="BF"/>
          <w:lang w:val="en-AU"/>
        </w:rPr>
        <w:lastRenderedPageBreak/>
        <w:t xml:space="preserve">Figure 1 FRDP </w:t>
      </w:r>
      <w:r w:rsidR="00524E85" w:rsidRPr="00394C86">
        <w:rPr>
          <w:b/>
          <w:i/>
          <w:color w:val="0673A5" w:themeColor="text2" w:themeShade="BF"/>
          <w:lang w:val="en-AU"/>
        </w:rPr>
        <w:t>d</w:t>
      </w:r>
      <w:r w:rsidRPr="00394C86">
        <w:rPr>
          <w:b/>
          <w:i/>
          <w:color w:val="0673A5" w:themeColor="text2" w:themeShade="BF"/>
          <w:lang w:val="en-AU"/>
        </w:rPr>
        <w:t xml:space="preserve">isaster </w:t>
      </w:r>
      <w:r w:rsidR="00524E85" w:rsidRPr="00394C86">
        <w:rPr>
          <w:b/>
          <w:i/>
          <w:color w:val="0673A5" w:themeColor="text2" w:themeShade="BF"/>
          <w:lang w:val="en-AU"/>
        </w:rPr>
        <w:t xml:space="preserve">risk management </w:t>
      </w:r>
      <w:r w:rsidRPr="00394C86">
        <w:rPr>
          <w:b/>
          <w:i/>
          <w:color w:val="0673A5" w:themeColor="text2" w:themeShade="BF"/>
          <w:lang w:val="en-AU"/>
        </w:rPr>
        <w:t xml:space="preserve">and </w:t>
      </w:r>
      <w:r w:rsidR="00524E85" w:rsidRPr="00394C86">
        <w:rPr>
          <w:b/>
          <w:i/>
          <w:color w:val="0673A5" w:themeColor="text2" w:themeShade="BF"/>
          <w:lang w:val="en-AU"/>
        </w:rPr>
        <w:t>c</w:t>
      </w:r>
      <w:r w:rsidRPr="00394C86">
        <w:rPr>
          <w:b/>
          <w:i/>
          <w:color w:val="0673A5" w:themeColor="text2" w:themeShade="BF"/>
          <w:lang w:val="en-AU"/>
        </w:rPr>
        <w:t xml:space="preserve">limate </w:t>
      </w:r>
      <w:r w:rsidR="00524E85" w:rsidRPr="00394C86">
        <w:rPr>
          <w:b/>
          <w:i/>
          <w:color w:val="0673A5" w:themeColor="text2" w:themeShade="BF"/>
          <w:lang w:val="en-AU"/>
        </w:rPr>
        <w:t xml:space="preserve">change </w:t>
      </w:r>
      <w:r w:rsidRPr="00394C86">
        <w:rPr>
          <w:b/>
          <w:i/>
          <w:color w:val="0673A5" w:themeColor="text2" w:themeShade="BF"/>
          <w:lang w:val="en-AU"/>
        </w:rPr>
        <w:t>adap</w:t>
      </w:r>
      <w:r w:rsidR="00524E85" w:rsidRPr="00394C86">
        <w:rPr>
          <w:b/>
          <w:i/>
          <w:color w:val="0673A5" w:themeColor="text2" w:themeShade="BF"/>
          <w:lang w:val="en-AU"/>
        </w:rPr>
        <w:t>ta</w:t>
      </w:r>
      <w:r w:rsidRPr="00394C86">
        <w:rPr>
          <w:b/>
          <w:i/>
          <w:color w:val="0673A5" w:themeColor="text2" w:themeShade="BF"/>
          <w:lang w:val="en-AU"/>
        </w:rPr>
        <w:t>tion cycles</w:t>
      </w:r>
    </w:p>
    <w:p w14:paraId="642B0058" w14:textId="5D3642E4" w:rsidR="007A38A8" w:rsidRPr="00394C86" w:rsidRDefault="00D406D9" w:rsidP="008D1A63">
      <w:pPr>
        <w:rPr>
          <w:lang w:val="en-AU"/>
        </w:rPr>
      </w:pPr>
      <w:r w:rsidRPr="00A048D6">
        <w:rPr>
          <w:bdr w:val="single" w:sz="4" w:space="0" w:color="auto"/>
          <w:lang w:val="en-AU"/>
        </w:rPr>
        <w:object w:dxaOrig="13671" w:dyaOrig="8861" w14:anchorId="76908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5pt;height:303.5pt" o:ole="" o:bordertopcolor="this" o:borderleftcolor="this" o:borderbottomcolor="this" o:borderrightcolor="this">
            <v:imagedata r:id="rId14" o:title=""/>
          </v:shape>
          <o:OLEObject Type="Embed" ProgID="Visio.Drawing.15" ShapeID="_x0000_i1025" DrawAspect="Content" ObjectID="_1579438552" r:id="rId15"/>
        </w:object>
      </w:r>
    </w:p>
    <w:p w14:paraId="440B5D21" w14:textId="277ADBF1" w:rsidR="000C0164" w:rsidRPr="00394C86" w:rsidRDefault="009B2AA2" w:rsidP="009B2AA2">
      <w:pPr>
        <w:spacing w:after="120" w:line="276" w:lineRule="auto"/>
        <w:rPr>
          <w:color w:val="3C3C3C" w:themeColor="background2" w:themeShade="40"/>
          <w:lang w:val="en-AU"/>
        </w:rPr>
      </w:pPr>
      <w:r w:rsidRPr="00AE1B0B">
        <w:rPr>
          <w:lang w:val="en-AU"/>
        </w:rPr>
        <w:t xml:space="preserve">There </w:t>
      </w:r>
      <w:r w:rsidR="00694024" w:rsidRPr="00AE1B0B">
        <w:rPr>
          <w:lang w:val="en-AU"/>
        </w:rPr>
        <w:t xml:space="preserve">is </w:t>
      </w:r>
      <w:r w:rsidRPr="00AE1B0B">
        <w:rPr>
          <w:lang w:val="en-AU"/>
        </w:rPr>
        <w:t xml:space="preserve">a </w:t>
      </w:r>
      <w:r w:rsidR="00694024" w:rsidRPr="00AE1B0B">
        <w:rPr>
          <w:lang w:val="en-AU"/>
        </w:rPr>
        <w:t xml:space="preserve">wide </w:t>
      </w:r>
      <w:r w:rsidRPr="00AE1B0B">
        <w:rPr>
          <w:lang w:val="en-AU"/>
        </w:rPr>
        <w:t xml:space="preserve">range of potential investments to prevent disasters, </w:t>
      </w:r>
      <w:r w:rsidR="00694024" w:rsidRPr="00AE1B0B">
        <w:rPr>
          <w:lang w:val="en-AU"/>
        </w:rPr>
        <w:t xml:space="preserve">to </w:t>
      </w:r>
      <w:r w:rsidRPr="00AE1B0B">
        <w:rPr>
          <w:lang w:val="en-AU"/>
        </w:rPr>
        <w:t>limit their impact, and to prepare for disasters. Disaster prevention often requires large</w:t>
      </w:r>
      <w:r w:rsidR="00694024" w:rsidRPr="00AE1B0B">
        <w:rPr>
          <w:lang w:val="en-AU"/>
        </w:rPr>
        <w:t>-</w:t>
      </w:r>
      <w:r w:rsidRPr="00AE1B0B">
        <w:rPr>
          <w:lang w:val="en-AU"/>
        </w:rPr>
        <w:t xml:space="preserve">scale investments beyond the scope of a single NGO program. However, through the AHP, NGO efforts can be made more effective and have </w:t>
      </w:r>
      <w:r w:rsidR="00BD3844" w:rsidRPr="00AE1B0B">
        <w:rPr>
          <w:lang w:val="en-AU"/>
        </w:rPr>
        <w:t xml:space="preserve">a greater </w:t>
      </w:r>
      <w:r w:rsidRPr="00AE1B0B">
        <w:rPr>
          <w:lang w:val="en-AU"/>
        </w:rPr>
        <w:t>impact through joint efforts. Disaster READY prioritises collaborative efforts for disaster preparedness and recognises that in practice</w:t>
      </w:r>
      <w:r w:rsidR="00694024" w:rsidRPr="00AE1B0B">
        <w:rPr>
          <w:lang w:val="en-AU"/>
        </w:rPr>
        <w:t>,</w:t>
      </w:r>
      <w:r w:rsidRPr="00AE1B0B">
        <w:rPr>
          <w:lang w:val="en-AU"/>
        </w:rPr>
        <w:t xml:space="preserve"> community</w:t>
      </w:r>
      <w:r w:rsidR="00694024" w:rsidRPr="00AE1B0B">
        <w:rPr>
          <w:lang w:val="en-AU"/>
        </w:rPr>
        <w:t>-</w:t>
      </w:r>
      <w:r w:rsidRPr="00AE1B0B">
        <w:rPr>
          <w:lang w:val="en-AU"/>
        </w:rPr>
        <w:t>level “preparedness” and “limiting impacts” often overlap</w:t>
      </w:r>
      <w:r w:rsidR="00694024" w:rsidRPr="00AE1B0B">
        <w:rPr>
          <w:lang w:val="en-AU"/>
        </w:rPr>
        <w:t>,</w:t>
      </w:r>
      <w:r w:rsidRPr="00AE1B0B">
        <w:rPr>
          <w:lang w:val="en-AU"/>
        </w:rPr>
        <w:t xml:space="preserve"> and NGOs can therefore gain efficiencies for development outcomes. For example, in communities at risk of drought</w:t>
      </w:r>
      <w:r w:rsidR="00694024" w:rsidRPr="00AE1B0B">
        <w:rPr>
          <w:lang w:val="en-AU"/>
        </w:rPr>
        <w:t>,</w:t>
      </w:r>
      <w:r w:rsidRPr="00AE1B0B">
        <w:rPr>
          <w:lang w:val="en-AU"/>
        </w:rPr>
        <w:t xml:space="preserve"> the installation of roof water collection systems </w:t>
      </w:r>
      <w:r w:rsidR="00174532" w:rsidRPr="00AE1B0B">
        <w:rPr>
          <w:lang w:val="en-AU"/>
        </w:rPr>
        <w:t xml:space="preserve">can </w:t>
      </w:r>
      <w:r w:rsidRPr="00AE1B0B">
        <w:rPr>
          <w:lang w:val="en-AU"/>
        </w:rPr>
        <w:t xml:space="preserve">be considered both a preparedness measure and a measure that limits impacts or risks. It can also have broader development impacts for health and sanitation. </w:t>
      </w:r>
      <w:r w:rsidR="00447153" w:rsidRPr="00AE1B0B">
        <w:rPr>
          <w:lang w:val="en-AU"/>
        </w:rPr>
        <w:br/>
      </w:r>
      <w:r w:rsidR="00447153" w:rsidRPr="00AE1B0B">
        <w:rPr>
          <w:lang w:val="en-AU"/>
        </w:rPr>
        <w:br/>
      </w:r>
      <w:r w:rsidRPr="00AE1B0B">
        <w:rPr>
          <w:lang w:val="en-AU"/>
        </w:rPr>
        <w:t xml:space="preserve">The focus on preparedness is informed by recognition that </w:t>
      </w:r>
      <w:r w:rsidR="00174532" w:rsidRPr="00AE1B0B">
        <w:rPr>
          <w:lang w:val="en-AU"/>
        </w:rPr>
        <w:t>CCA</w:t>
      </w:r>
      <w:r w:rsidRPr="00AE1B0B">
        <w:rPr>
          <w:lang w:val="en-AU"/>
        </w:rPr>
        <w:t xml:space="preserve"> and resilience building are addressed through a range of development investments including </w:t>
      </w:r>
      <w:r w:rsidR="00174532" w:rsidRPr="00AE1B0B">
        <w:rPr>
          <w:lang w:val="en-AU"/>
        </w:rPr>
        <w:t>CCA</w:t>
      </w:r>
      <w:r w:rsidRPr="00AE1B0B">
        <w:rPr>
          <w:lang w:val="en-AU"/>
        </w:rPr>
        <w:t xml:space="preserve"> programs (DFAT and Green Climate Fund); bilateral programs on agriculture, markets system development, and water and sanitation; local strengthening of health and education services at the frontline; a range of infrastructure programs that use appropriate technologies for the risk profile; and initiatives through the Australian NGO Cooperation Program (ANCP) and its commitment to resilience building in the Pacific. The design of Disaster READY locates coordination and decision</w:t>
      </w:r>
      <w:r w:rsidR="00964F8D" w:rsidRPr="00AE1B0B">
        <w:rPr>
          <w:lang w:val="en-AU"/>
        </w:rPr>
        <w:t>-</w:t>
      </w:r>
      <w:r w:rsidRPr="00AE1B0B">
        <w:rPr>
          <w:lang w:val="en-AU"/>
        </w:rPr>
        <w:t>making at the country</w:t>
      </w:r>
      <w:r w:rsidR="00E04824" w:rsidRPr="00AE1B0B">
        <w:rPr>
          <w:lang w:val="en-AU"/>
        </w:rPr>
        <w:t xml:space="preserve"> </w:t>
      </w:r>
      <w:r w:rsidRPr="00AE1B0B">
        <w:rPr>
          <w:lang w:val="en-AU"/>
        </w:rPr>
        <w:t xml:space="preserve">level, ensuring that country context and </w:t>
      </w:r>
      <w:r w:rsidRPr="00AE1B0B">
        <w:rPr>
          <w:lang w:val="en-AU"/>
        </w:rPr>
        <w:lastRenderedPageBreak/>
        <w:t>relationships drive the program. This will make it easier for AHP NGOs to align with bilateral and other programs at the country level.</w:t>
      </w:r>
    </w:p>
    <w:p w14:paraId="554FC17D" w14:textId="77FBABB6" w:rsidR="00A84298" w:rsidRPr="00735025" w:rsidRDefault="001F6400" w:rsidP="008C1169">
      <w:pPr>
        <w:pStyle w:val="Heading2"/>
        <w:rPr>
          <w:rFonts w:ascii="Calibri" w:hAnsi="Calibri" w:cs="Calibri"/>
          <w:lang w:val="en-AU"/>
        </w:rPr>
      </w:pPr>
      <w:bookmarkStart w:id="16" w:name="_Toc501451664"/>
      <w:r w:rsidRPr="00735025">
        <w:rPr>
          <w:rFonts w:ascii="Calibri" w:hAnsi="Calibri" w:cs="Calibri"/>
          <w:lang w:val="en-AU"/>
        </w:rPr>
        <w:t>Innovation</w:t>
      </w:r>
      <w:r w:rsidR="0057732D" w:rsidRPr="00735025">
        <w:rPr>
          <w:rFonts w:ascii="Calibri" w:hAnsi="Calibri" w:cs="Calibri"/>
          <w:lang w:val="en-AU"/>
        </w:rPr>
        <w:t xml:space="preserve"> and </w:t>
      </w:r>
      <w:r w:rsidR="00B9309E" w:rsidRPr="00735025">
        <w:rPr>
          <w:rFonts w:ascii="Calibri" w:hAnsi="Calibri" w:cs="Calibri"/>
          <w:lang w:val="en-AU"/>
        </w:rPr>
        <w:t>P</w:t>
      </w:r>
      <w:r w:rsidR="0057732D" w:rsidRPr="00735025">
        <w:rPr>
          <w:rFonts w:ascii="Calibri" w:hAnsi="Calibri" w:cs="Calibri"/>
          <w:lang w:val="en-AU"/>
        </w:rPr>
        <w:t xml:space="preserve">rivate </w:t>
      </w:r>
      <w:r w:rsidR="00B9309E" w:rsidRPr="00735025">
        <w:rPr>
          <w:rFonts w:ascii="Calibri" w:hAnsi="Calibri" w:cs="Calibri"/>
          <w:lang w:val="en-AU"/>
        </w:rPr>
        <w:t>S</w:t>
      </w:r>
      <w:r w:rsidR="0057732D" w:rsidRPr="00735025">
        <w:rPr>
          <w:rFonts w:ascii="Calibri" w:hAnsi="Calibri" w:cs="Calibri"/>
          <w:lang w:val="en-AU"/>
        </w:rPr>
        <w:t xml:space="preserve">ector </w:t>
      </w:r>
      <w:r w:rsidR="00B9309E" w:rsidRPr="00735025">
        <w:rPr>
          <w:rFonts w:ascii="Calibri" w:hAnsi="Calibri" w:cs="Calibri"/>
          <w:lang w:val="en-AU"/>
        </w:rPr>
        <w:t>E</w:t>
      </w:r>
      <w:r w:rsidR="0057732D" w:rsidRPr="00735025">
        <w:rPr>
          <w:rFonts w:ascii="Calibri" w:hAnsi="Calibri" w:cs="Calibri"/>
          <w:lang w:val="en-AU"/>
        </w:rPr>
        <w:t>ngagement</w:t>
      </w:r>
      <w:bookmarkEnd w:id="16"/>
    </w:p>
    <w:p w14:paraId="414159A1" w14:textId="77777777" w:rsidR="00837E3F" w:rsidRDefault="001F6400" w:rsidP="00D53005">
      <w:pPr>
        <w:rPr>
          <w:lang w:val="en-AU"/>
        </w:rPr>
      </w:pPr>
      <w:r w:rsidRPr="00394C86">
        <w:rPr>
          <w:lang w:val="en-AU"/>
        </w:rPr>
        <w:t>Disaster READY brin</w:t>
      </w:r>
      <w:r w:rsidR="00865943" w:rsidRPr="00394C86">
        <w:rPr>
          <w:lang w:val="en-AU"/>
        </w:rPr>
        <w:t>gs innovat</w:t>
      </w:r>
      <w:r w:rsidRPr="00394C86">
        <w:rPr>
          <w:lang w:val="en-AU"/>
        </w:rPr>
        <w:t>ion</w:t>
      </w:r>
      <w:r w:rsidR="00C350C0" w:rsidRPr="00394C86">
        <w:rPr>
          <w:lang w:val="en-AU"/>
        </w:rPr>
        <w:t>s</w:t>
      </w:r>
      <w:r w:rsidRPr="00394C86">
        <w:rPr>
          <w:lang w:val="en-AU"/>
        </w:rPr>
        <w:t xml:space="preserve"> in the </w:t>
      </w:r>
      <w:r w:rsidR="002262B7" w:rsidRPr="00394C86">
        <w:rPr>
          <w:lang w:val="en-AU"/>
        </w:rPr>
        <w:t xml:space="preserve">coordinated NGO </w:t>
      </w:r>
      <w:r w:rsidRPr="00394C86">
        <w:rPr>
          <w:lang w:val="en-AU"/>
        </w:rPr>
        <w:t xml:space="preserve">delivery mechanism </w:t>
      </w:r>
      <w:r w:rsidR="00C350C0" w:rsidRPr="00394C86">
        <w:rPr>
          <w:lang w:val="en-AU"/>
        </w:rPr>
        <w:t xml:space="preserve">to deliver effective and efficient preparedness programs.  </w:t>
      </w:r>
      <w:r w:rsidRPr="00394C86">
        <w:rPr>
          <w:lang w:val="en-AU"/>
        </w:rPr>
        <w:t>Long</w:t>
      </w:r>
      <w:r w:rsidR="00193B4B" w:rsidRPr="00394C86">
        <w:rPr>
          <w:lang w:val="en-AU"/>
        </w:rPr>
        <w:t>-</w:t>
      </w:r>
      <w:r w:rsidRPr="00394C86">
        <w:rPr>
          <w:lang w:val="en-AU"/>
        </w:rPr>
        <w:t>term humanitarian funding provides a basis for building a performance culture between NGOs</w:t>
      </w:r>
      <w:r w:rsidR="0057732D" w:rsidRPr="00394C86">
        <w:rPr>
          <w:lang w:val="en-AU"/>
        </w:rPr>
        <w:t xml:space="preserve">, with annual reviews at country level to assess progress against country plan objectives and </w:t>
      </w:r>
      <w:r w:rsidR="00C350C0" w:rsidRPr="00394C86">
        <w:rPr>
          <w:lang w:val="en-AU"/>
        </w:rPr>
        <w:t xml:space="preserve">progress </w:t>
      </w:r>
      <w:r w:rsidR="0057732D" w:rsidRPr="00394C86">
        <w:rPr>
          <w:lang w:val="en-AU"/>
        </w:rPr>
        <w:t>on social inclusion issues</w:t>
      </w:r>
      <w:r w:rsidRPr="00394C86">
        <w:rPr>
          <w:lang w:val="en-AU"/>
        </w:rPr>
        <w:t xml:space="preserve">. </w:t>
      </w:r>
      <w:r w:rsidR="0057732D" w:rsidRPr="00394C86">
        <w:rPr>
          <w:lang w:val="en-AU"/>
        </w:rPr>
        <w:t xml:space="preserve">Country plans, </w:t>
      </w:r>
      <w:r w:rsidR="009D0B2B" w:rsidRPr="00735025">
        <w:rPr>
          <w:lang w:val="en-AU"/>
        </w:rPr>
        <w:t>Country Committee</w:t>
      </w:r>
      <w:r w:rsidR="0057732D" w:rsidRPr="00735025">
        <w:rPr>
          <w:lang w:val="en-AU"/>
        </w:rPr>
        <w:t xml:space="preserve">s and </w:t>
      </w:r>
      <w:r w:rsidR="00BF1A40" w:rsidRPr="00735025">
        <w:rPr>
          <w:lang w:val="en-AU"/>
        </w:rPr>
        <w:t>Shared Services</w:t>
      </w:r>
      <w:r w:rsidR="008E5F3F" w:rsidRPr="00394C86">
        <w:rPr>
          <w:lang w:val="en-AU"/>
        </w:rPr>
        <w:t xml:space="preserve"> support</w:t>
      </w:r>
      <w:r w:rsidR="0057732D" w:rsidRPr="00394C86">
        <w:rPr>
          <w:lang w:val="en-AU"/>
        </w:rPr>
        <w:t xml:space="preserve"> AHP NGOs to coordinate and collaborate</w:t>
      </w:r>
      <w:r w:rsidR="00193B4B" w:rsidRPr="00394C86">
        <w:rPr>
          <w:lang w:val="en-AU"/>
        </w:rPr>
        <w:t>,</w:t>
      </w:r>
      <w:r w:rsidR="00C350C0" w:rsidRPr="00394C86">
        <w:rPr>
          <w:lang w:val="en-AU"/>
        </w:rPr>
        <w:t xml:space="preserve"> maximising opportunities for impact and scale beyond the limited reach that small-scale activities usually bring.</w:t>
      </w:r>
      <w:r w:rsidR="00C350C0" w:rsidRPr="00394C86" w:rsidDel="00C350C0">
        <w:rPr>
          <w:lang w:val="en-AU"/>
        </w:rPr>
        <w:t xml:space="preserve"> </w:t>
      </w:r>
      <w:r w:rsidR="008E5F3F" w:rsidRPr="00394C86">
        <w:rPr>
          <w:lang w:val="en-AU"/>
        </w:rPr>
        <w:t xml:space="preserve">Dedicated </w:t>
      </w:r>
      <w:r w:rsidR="00BF1A40" w:rsidRPr="00735025">
        <w:rPr>
          <w:lang w:val="en-AU"/>
        </w:rPr>
        <w:t>Shared Services</w:t>
      </w:r>
      <w:r w:rsidR="008E5F3F" w:rsidRPr="00394C86">
        <w:rPr>
          <w:lang w:val="en-AU"/>
        </w:rPr>
        <w:t xml:space="preserve"> funding has been built into the program to incentivise learning and continuous improvement by NGOs on humanitarian action and gender equality, disability inclusion and child protection. </w:t>
      </w:r>
      <w:r w:rsidR="00C350C0" w:rsidRPr="00394C86">
        <w:rPr>
          <w:lang w:val="en-AU"/>
        </w:rPr>
        <w:t xml:space="preserve">This includes dedicated support for </w:t>
      </w:r>
      <w:r w:rsidR="007C38B6" w:rsidRPr="00394C86">
        <w:rPr>
          <w:lang w:val="en-AU"/>
        </w:rPr>
        <w:t>D</w:t>
      </w:r>
      <w:r w:rsidR="00174532" w:rsidRPr="00735025">
        <w:rPr>
          <w:lang w:val="en-AU"/>
        </w:rPr>
        <w:t>PO</w:t>
      </w:r>
      <w:r w:rsidR="00C350C0" w:rsidRPr="00735025">
        <w:rPr>
          <w:lang w:val="en-AU"/>
        </w:rPr>
        <w:t xml:space="preserve"> participation in country</w:t>
      </w:r>
      <w:r w:rsidR="00174532" w:rsidRPr="00735025">
        <w:rPr>
          <w:lang w:val="en-AU"/>
        </w:rPr>
        <w:t>-</w:t>
      </w:r>
      <w:r w:rsidR="00C350C0" w:rsidRPr="00394C86">
        <w:rPr>
          <w:lang w:val="en-AU"/>
        </w:rPr>
        <w:t xml:space="preserve">level activities and </w:t>
      </w:r>
      <w:r w:rsidR="00964F8D" w:rsidRPr="00394C86">
        <w:rPr>
          <w:lang w:val="en-AU"/>
        </w:rPr>
        <w:t>decision-making</w:t>
      </w:r>
      <w:r w:rsidR="00C350C0" w:rsidRPr="00394C86">
        <w:rPr>
          <w:lang w:val="en-AU"/>
        </w:rPr>
        <w:t>. NGOs</w:t>
      </w:r>
      <w:r w:rsidR="00FE48EE" w:rsidRPr="00394C86">
        <w:rPr>
          <w:lang w:val="en-AU"/>
        </w:rPr>
        <w:t xml:space="preserve"> </w:t>
      </w:r>
      <w:r w:rsidR="006A2FD1" w:rsidRPr="00394C86">
        <w:rPr>
          <w:lang w:val="en-AU"/>
        </w:rPr>
        <w:t>will be facilitated by the AHP</w:t>
      </w:r>
      <w:r w:rsidR="007C38B6" w:rsidRPr="00394C86">
        <w:rPr>
          <w:lang w:val="en-AU"/>
        </w:rPr>
        <w:t xml:space="preserve"> </w:t>
      </w:r>
      <w:r w:rsidR="006A2FD1" w:rsidRPr="00394C86">
        <w:rPr>
          <w:lang w:val="en-AU"/>
        </w:rPr>
        <w:t>SU to</w:t>
      </w:r>
      <w:r w:rsidRPr="00394C86">
        <w:rPr>
          <w:lang w:val="en-AU"/>
        </w:rPr>
        <w:t xml:space="preserve"> </w:t>
      </w:r>
      <w:r w:rsidR="006A2FD1" w:rsidRPr="00394C86">
        <w:rPr>
          <w:lang w:val="en-AU"/>
        </w:rPr>
        <w:t>collectively assess and</w:t>
      </w:r>
      <w:r w:rsidR="0057732D" w:rsidRPr="00394C86">
        <w:rPr>
          <w:lang w:val="en-AU"/>
        </w:rPr>
        <w:t xml:space="preserve"> </w:t>
      </w:r>
      <w:r w:rsidRPr="00394C86">
        <w:rPr>
          <w:lang w:val="en-AU"/>
        </w:rPr>
        <w:t>respond to changing contexts and priorities in focus countries</w:t>
      </w:r>
      <w:r w:rsidR="006A2FD1" w:rsidRPr="00394C86">
        <w:rPr>
          <w:lang w:val="en-AU"/>
        </w:rPr>
        <w:t xml:space="preserve"> each year</w:t>
      </w:r>
      <w:r w:rsidRPr="00394C86">
        <w:rPr>
          <w:lang w:val="en-AU"/>
        </w:rPr>
        <w:t xml:space="preserve">. </w:t>
      </w:r>
      <w:r w:rsidR="00C350C0" w:rsidRPr="00394C86">
        <w:rPr>
          <w:lang w:val="en-AU"/>
        </w:rPr>
        <w:t>In addition</w:t>
      </w:r>
      <w:r w:rsidR="00E04824" w:rsidRPr="00394C86">
        <w:rPr>
          <w:lang w:val="en-AU"/>
        </w:rPr>
        <w:t>,</w:t>
      </w:r>
      <w:r w:rsidR="00C350C0" w:rsidRPr="00394C86">
        <w:rPr>
          <w:lang w:val="en-AU"/>
        </w:rPr>
        <w:t xml:space="preserve"> the AHP</w:t>
      </w:r>
      <w:r w:rsidR="004249C9" w:rsidRPr="00394C86">
        <w:rPr>
          <w:lang w:val="en-AU"/>
        </w:rPr>
        <w:t xml:space="preserve"> </w:t>
      </w:r>
      <w:r w:rsidR="00C350C0" w:rsidRPr="00394C86">
        <w:rPr>
          <w:lang w:val="en-AU"/>
        </w:rPr>
        <w:t xml:space="preserve">SU will facilitate </w:t>
      </w:r>
      <w:r w:rsidR="007C38B6" w:rsidRPr="00394C86">
        <w:rPr>
          <w:lang w:val="en-AU"/>
        </w:rPr>
        <w:t xml:space="preserve">a </w:t>
      </w:r>
      <w:r w:rsidR="00C350C0" w:rsidRPr="00394C86">
        <w:rPr>
          <w:lang w:val="en-AU"/>
        </w:rPr>
        <w:t>regional learning event to promote sharing of lessons and good practice across countries.</w:t>
      </w:r>
      <w:r w:rsidR="00447153" w:rsidRPr="00735025">
        <w:rPr>
          <w:lang w:val="en-AU"/>
        </w:rPr>
        <w:br/>
      </w:r>
      <w:r w:rsidR="00447153" w:rsidRPr="00735025">
        <w:rPr>
          <w:lang w:val="en-AU"/>
        </w:rPr>
        <w:br/>
      </w:r>
      <w:r w:rsidR="00FE48EE" w:rsidRPr="00394C86">
        <w:rPr>
          <w:lang w:val="en-AU"/>
        </w:rPr>
        <w:t>T</w:t>
      </w:r>
      <w:r w:rsidR="00293B8C" w:rsidRPr="00394C86">
        <w:rPr>
          <w:lang w:val="en-AU"/>
        </w:rPr>
        <w:t xml:space="preserve">he multi-year core funding provided to the NGOs from the start of the design process has provided space for NGOs to </w:t>
      </w:r>
      <w:r w:rsidR="00C350C0" w:rsidRPr="00394C86">
        <w:rPr>
          <w:lang w:val="en-AU"/>
        </w:rPr>
        <w:t>collaborate and share technical skills, knowledge and relationships</w:t>
      </w:r>
      <w:r w:rsidR="00FE48EE" w:rsidRPr="00394C86">
        <w:rPr>
          <w:lang w:val="en-AU"/>
        </w:rPr>
        <w:t xml:space="preserve">. This </w:t>
      </w:r>
      <w:r w:rsidR="00293B8C" w:rsidRPr="00394C86">
        <w:rPr>
          <w:lang w:val="en-AU"/>
        </w:rPr>
        <w:t>would not have been possible under a competitive annual funding round. This builds on the experience of several highly successful DFAT programs such as the Australian Africa Community Engagement Scheme (AACES)</w:t>
      </w:r>
      <w:r w:rsidR="00CE4147" w:rsidRPr="00394C86">
        <w:rPr>
          <w:lang w:val="en-AU"/>
        </w:rPr>
        <w:t xml:space="preserve"> </w:t>
      </w:r>
      <w:r w:rsidR="002E31F3" w:rsidRPr="00394C86">
        <w:rPr>
          <w:lang w:val="en-AU"/>
        </w:rPr>
        <w:t xml:space="preserve">which demonstrated </w:t>
      </w:r>
      <w:r w:rsidR="00CE4147" w:rsidRPr="00394C86">
        <w:rPr>
          <w:lang w:val="en-AU"/>
        </w:rPr>
        <w:t xml:space="preserve">that reducing competition is vital to allow the space for </w:t>
      </w:r>
      <w:r w:rsidR="002E31F3" w:rsidRPr="00394C86">
        <w:rPr>
          <w:lang w:val="en-AU"/>
        </w:rPr>
        <w:t xml:space="preserve">coordination, </w:t>
      </w:r>
      <w:r w:rsidR="00CE4147" w:rsidRPr="00394C86">
        <w:rPr>
          <w:lang w:val="en-AU"/>
        </w:rPr>
        <w:t>learning and innovation</w:t>
      </w:r>
      <w:r w:rsidR="00293B8C" w:rsidRPr="00394C86">
        <w:rPr>
          <w:lang w:val="en-AU"/>
        </w:rPr>
        <w:t xml:space="preserve">. </w:t>
      </w:r>
      <w:r w:rsidR="00447153" w:rsidRPr="00735025">
        <w:rPr>
          <w:lang w:val="en-AU"/>
        </w:rPr>
        <w:br/>
      </w:r>
      <w:r w:rsidR="00447153" w:rsidRPr="00735025">
        <w:rPr>
          <w:lang w:val="en-AU"/>
        </w:rPr>
        <w:br/>
      </w:r>
      <w:r w:rsidR="00367B87" w:rsidRPr="00394C86">
        <w:rPr>
          <w:lang w:val="en-AU"/>
        </w:rPr>
        <w:t xml:space="preserve">Disaster READY also recognises that a complementary competitive process can incentivise performance. The </w:t>
      </w:r>
      <w:r w:rsidR="00C350C0" w:rsidRPr="00394C86">
        <w:rPr>
          <w:lang w:val="en-AU"/>
        </w:rPr>
        <w:t>PPF provides incentives for strong performance, collaboration and innovative approaches to community disaster preparedness and risk reduction. Funding rounds will open after Disaster READY implementation has started</w:t>
      </w:r>
      <w:r w:rsidR="00174532" w:rsidRPr="00735025">
        <w:rPr>
          <w:lang w:val="en-AU"/>
        </w:rPr>
        <w:t>,</w:t>
      </w:r>
      <w:r w:rsidR="00C350C0" w:rsidRPr="00394C86">
        <w:rPr>
          <w:lang w:val="en-AU"/>
        </w:rPr>
        <w:t xml:space="preserve"> and NGOs will be expected to show evidence of strong performance</w:t>
      </w:r>
      <w:r w:rsidR="00D53005" w:rsidRPr="00394C86">
        <w:rPr>
          <w:lang w:val="en-AU"/>
        </w:rPr>
        <w:t xml:space="preserve"> and collaboration</w:t>
      </w:r>
      <w:r w:rsidR="00C350C0" w:rsidRPr="00394C86">
        <w:rPr>
          <w:lang w:val="en-AU"/>
        </w:rPr>
        <w:t xml:space="preserve"> through multi</w:t>
      </w:r>
      <w:r w:rsidR="00E04824" w:rsidRPr="00394C86">
        <w:rPr>
          <w:lang w:val="en-AU"/>
        </w:rPr>
        <w:t>-</w:t>
      </w:r>
      <w:r w:rsidR="00C350C0" w:rsidRPr="00394C86">
        <w:rPr>
          <w:lang w:val="en-AU"/>
        </w:rPr>
        <w:t>year funding.</w:t>
      </w:r>
    </w:p>
    <w:p w14:paraId="04498B31" w14:textId="52B9E98B" w:rsidR="00D53005" w:rsidRPr="00394C86" w:rsidRDefault="00CC6EFB" w:rsidP="00D53005">
      <w:pPr>
        <w:rPr>
          <w:lang w:val="en-AU"/>
        </w:rPr>
      </w:pPr>
      <w:r w:rsidRPr="00735025">
        <w:rPr>
          <w:lang w:val="en-AU"/>
        </w:rPr>
        <w:t xml:space="preserve">For more information on innovation refer to the </w:t>
      </w:r>
      <w:r w:rsidR="0060166F">
        <w:rPr>
          <w:lang w:val="en-AU"/>
        </w:rPr>
        <w:t>i</w:t>
      </w:r>
      <w:r w:rsidRPr="00735025">
        <w:rPr>
          <w:lang w:val="en-AU"/>
        </w:rPr>
        <w:t xml:space="preserve">nnovation </w:t>
      </w:r>
      <w:r w:rsidR="0060166F">
        <w:rPr>
          <w:lang w:val="en-AU"/>
        </w:rPr>
        <w:t>infographic</w:t>
      </w:r>
      <w:r w:rsidRPr="00735025">
        <w:rPr>
          <w:lang w:val="en-AU"/>
        </w:rPr>
        <w:t xml:space="preserve"> in the Executive Summary.</w:t>
      </w:r>
      <w:r w:rsidR="00447153" w:rsidRPr="00735025">
        <w:rPr>
          <w:lang w:val="en-AU"/>
        </w:rPr>
        <w:br/>
      </w:r>
      <w:r w:rsidR="00447153" w:rsidRPr="00735025">
        <w:rPr>
          <w:lang w:val="en-AU"/>
        </w:rPr>
        <w:br/>
      </w:r>
      <w:r w:rsidR="0057732D" w:rsidRPr="00394C86">
        <w:rPr>
          <w:lang w:val="en-AU"/>
        </w:rPr>
        <w:t>The private sector is an important partner during humanitarian response</w:t>
      </w:r>
      <w:r w:rsidR="00174532" w:rsidRPr="00735025">
        <w:rPr>
          <w:lang w:val="en-AU"/>
        </w:rPr>
        <w:t xml:space="preserve">. </w:t>
      </w:r>
      <w:r w:rsidR="001F6400" w:rsidRPr="00394C86">
        <w:rPr>
          <w:lang w:val="en-AU"/>
        </w:rPr>
        <w:t xml:space="preserve">AHP NGOs </w:t>
      </w:r>
      <w:r w:rsidR="0057732D" w:rsidRPr="00394C86">
        <w:rPr>
          <w:lang w:val="en-AU"/>
        </w:rPr>
        <w:t>will</w:t>
      </w:r>
      <w:r w:rsidR="001F6400" w:rsidRPr="00394C86">
        <w:rPr>
          <w:lang w:val="en-AU"/>
        </w:rPr>
        <w:t xml:space="preserve"> </w:t>
      </w:r>
      <w:r w:rsidR="0057732D" w:rsidRPr="00394C86">
        <w:rPr>
          <w:lang w:val="en-AU"/>
        </w:rPr>
        <w:t>build relationships with the private sector</w:t>
      </w:r>
      <w:r w:rsidR="00D53005" w:rsidRPr="00394C86">
        <w:rPr>
          <w:lang w:val="en-AU"/>
        </w:rPr>
        <w:t>, particularly those that present opportunities to strengthen value chains and build resilience in market systems. NGOs have deepened their partnerships with the private sector through the design phase</w:t>
      </w:r>
      <w:r w:rsidR="00193B4B" w:rsidRPr="00394C86">
        <w:rPr>
          <w:lang w:val="en-AU"/>
        </w:rPr>
        <w:t>,</w:t>
      </w:r>
      <w:r w:rsidR="00D53005" w:rsidRPr="00394C86">
        <w:rPr>
          <w:lang w:val="en-AU"/>
        </w:rPr>
        <w:t xml:space="preserve"> and specific investments include: </w:t>
      </w:r>
    </w:p>
    <w:p w14:paraId="146D9119" w14:textId="3FD5C7DA" w:rsidR="00D53005" w:rsidRPr="00394C86" w:rsidRDefault="00D53005" w:rsidP="00D53005">
      <w:pPr>
        <w:pStyle w:val="ListParagraph"/>
        <w:numPr>
          <w:ilvl w:val="0"/>
          <w:numId w:val="31"/>
        </w:numPr>
      </w:pPr>
      <w:r w:rsidRPr="00394C86">
        <w:t>market assessments for cash transfer schemes in Fiji and Vanuatu (Save the Children and Oxfam)</w:t>
      </w:r>
      <w:r w:rsidR="00174532" w:rsidRPr="00735025">
        <w:t>;</w:t>
      </w:r>
    </w:p>
    <w:p w14:paraId="4A642BB2" w14:textId="50A8C104" w:rsidR="00D53005" w:rsidRPr="00735025" w:rsidRDefault="00D53005" w:rsidP="00D53005">
      <w:pPr>
        <w:pStyle w:val="ListParagraph"/>
        <w:numPr>
          <w:ilvl w:val="0"/>
          <w:numId w:val="31"/>
        </w:numPr>
      </w:pPr>
      <w:r w:rsidRPr="00735025">
        <w:t xml:space="preserve">use of mobile phone companies for communications </w:t>
      </w:r>
      <w:r w:rsidR="00193B4B" w:rsidRPr="00735025">
        <w:t xml:space="preserve">about </w:t>
      </w:r>
      <w:r w:rsidRPr="00735025">
        <w:t xml:space="preserve">preparedness and disaster information (all NGOs in </w:t>
      </w:r>
      <w:r w:rsidR="00F3172F" w:rsidRPr="00735025">
        <w:t>Timor-Leste</w:t>
      </w:r>
      <w:r w:rsidRPr="00735025">
        <w:t>)</w:t>
      </w:r>
      <w:r w:rsidR="00174532" w:rsidRPr="00735025">
        <w:t>;</w:t>
      </w:r>
    </w:p>
    <w:p w14:paraId="7FED2DAB" w14:textId="75019B9A" w:rsidR="00D53005" w:rsidRPr="00735025" w:rsidRDefault="00D53005" w:rsidP="00D53005">
      <w:pPr>
        <w:pStyle w:val="ListParagraph"/>
        <w:numPr>
          <w:ilvl w:val="0"/>
          <w:numId w:val="31"/>
        </w:numPr>
      </w:pPr>
      <w:r w:rsidRPr="00735025">
        <w:t xml:space="preserve">regional logistics training developed with input from Toll </w:t>
      </w:r>
      <w:r w:rsidR="00193B4B" w:rsidRPr="00735025">
        <w:t>L</w:t>
      </w:r>
      <w:r w:rsidRPr="00735025">
        <w:t>ogistics, and private sector staff targeted for logistics training (Save the Children)</w:t>
      </w:r>
      <w:r w:rsidR="00174532" w:rsidRPr="00735025">
        <w:t>;</w:t>
      </w:r>
    </w:p>
    <w:p w14:paraId="48FDE970" w14:textId="19B5F372" w:rsidR="00D53005" w:rsidRPr="00735025" w:rsidRDefault="00D53005" w:rsidP="00D53005">
      <w:pPr>
        <w:pStyle w:val="ListParagraph"/>
        <w:numPr>
          <w:ilvl w:val="0"/>
          <w:numId w:val="31"/>
        </w:numPr>
      </w:pPr>
      <w:r w:rsidRPr="00735025">
        <w:t>business continuity planning to support communities in the Solomon Islands (World Vision)</w:t>
      </w:r>
      <w:r w:rsidR="00DE596B" w:rsidRPr="00735025">
        <w:t>;</w:t>
      </w:r>
      <w:r w:rsidRPr="00735025">
        <w:t xml:space="preserve"> </w:t>
      </w:r>
    </w:p>
    <w:p w14:paraId="4FF15251" w14:textId="59BB6B63" w:rsidR="00D53005" w:rsidRPr="00735025" w:rsidRDefault="00D53005" w:rsidP="00D53005">
      <w:pPr>
        <w:pStyle w:val="ListParagraph"/>
        <w:numPr>
          <w:ilvl w:val="0"/>
          <w:numId w:val="31"/>
        </w:numPr>
      </w:pPr>
      <w:r w:rsidRPr="00735025">
        <w:lastRenderedPageBreak/>
        <w:t>supply chain innovations with local design and manufactur</w:t>
      </w:r>
      <w:r w:rsidR="00DE596B" w:rsidRPr="00735025">
        <w:t>e</w:t>
      </w:r>
      <w:r w:rsidRPr="00735025">
        <w:t xml:space="preserve"> of housing and other disaster response materials (Habitat for Humanity and Field Ready)</w:t>
      </w:r>
      <w:r w:rsidR="00DE596B" w:rsidRPr="00735025">
        <w:t>; and</w:t>
      </w:r>
    </w:p>
    <w:p w14:paraId="77EFC517" w14:textId="5CDAA754" w:rsidR="00D53005" w:rsidRPr="00394C86" w:rsidRDefault="00D53005" w:rsidP="00D53005">
      <w:pPr>
        <w:pStyle w:val="ListParagraph"/>
        <w:numPr>
          <w:ilvl w:val="0"/>
          <w:numId w:val="31"/>
        </w:numPr>
      </w:pPr>
      <w:r w:rsidRPr="00394C86">
        <w:t>improving the supply chain for pre-positioned supplies with local and Australian business church members (CAN DO Fiji)</w:t>
      </w:r>
      <w:r w:rsidR="00DE596B" w:rsidRPr="00735025">
        <w:t>.</w:t>
      </w:r>
    </w:p>
    <w:p w14:paraId="7D70444E" w14:textId="21FA19A2" w:rsidR="00134DC8" w:rsidRPr="00394C86" w:rsidRDefault="00D53005" w:rsidP="00110706">
      <w:pPr>
        <w:rPr>
          <w:color w:val="3C3C3C" w:themeColor="background2" w:themeShade="40"/>
          <w:lang w:val="en-AU"/>
        </w:rPr>
      </w:pPr>
      <w:r w:rsidRPr="00394C86">
        <w:rPr>
          <w:lang w:val="en-AU"/>
        </w:rPr>
        <w:t>Competitive grants through the PPF will offer opportunities to scale up successful NGO private sector engagement.</w:t>
      </w:r>
      <w:r w:rsidR="00447153" w:rsidRPr="00394C86">
        <w:rPr>
          <w:color w:val="3C3C3C" w:themeColor="background2" w:themeShade="40"/>
          <w:lang w:val="en-AU"/>
        </w:rPr>
        <w:br/>
      </w:r>
    </w:p>
    <w:p w14:paraId="289C3D34" w14:textId="0318510E" w:rsidR="008B2140" w:rsidRPr="00394C86" w:rsidRDefault="008B2140" w:rsidP="00110706">
      <w:pPr>
        <w:pStyle w:val="Heading1"/>
        <w:rPr>
          <w:rFonts w:ascii="Calibri" w:hAnsi="Calibri" w:cs="Calibri"/>
          <w:lang w:val="en-AU"/>
        </w:rPr>
      </w:pPr>
      <w:bookmarkStart w:id="17" w:name="_Toc501451665"/>
      <w:r w:rsidRPr="00394C86">
        <w:rPr>
          <w:rFonts w:ascii="Calibri" w:hAnsi="Calibri" w:cs="Calibri"/>
          <w:lang w:val="en-AU"/>
        </w:rPr>
        <w:t>Investment Description</w:t>
      </w:r>
      <w:bookmarkEnd w:id="17"/>
    </w:p>
    <w:p w14:paraId="681294D1" w14:textId="26D44C23" w:rsidR="009C2973" w:rsidRPr="00394C86" w:rsidRDefault="009C2973" w:rsidP="008C1169">
      <w:pPr>
        <w:pStyle w:val="Heading2"/>
        <w:rPr>
          <w:rFonts w:ascii="Calibri" w:hAnsi="Calibri" w:cs="Calibri"/>
          <w:lang w:val="en-AU"/>
        </w:rPr>
      </w:pPr>
      <w:bookmarkStart w:id="18" w:name="_Toc501451666"/>
      <w:r w:rsidRPr="00394C86">
        <w:rPr>
          <w:rFonts w:ascii="Calibri" w:hAnsi="Calibri" w:cs="Calibri"/>
          <w:lang w:val="en-AU"/>
        </w:rPr>
        <w:t>Logic and Expected Outcomes</w:t>
      </w:r>
      <w:bookmarkEnd w:id="18"/>
    </w:p>
    <w:p w14:paraId="22C4CD84" w14:textId="18B162BF" w:rsidR="00F571C9" w:rsidRPr="00735025" w:rsidRDefault="00510368" w:rsidP="00F571C9">
      <w:pPr>
        <w:rPr>
          <w:lang w:val="en-AU"/>
        </w:rPr>
      </w:pPr>
      <w:r w:rsidRPr="00735025">
        <w:rPr>
          <w:lang w:val="en-AU"/>
        </w:rPr>
        <w:t xml:space="preserve">The purpose and objectives </w:t>
      </w:r>
      <w:r w:rsidR="00DE596B" w:rsidRPr="00735025">
        <w:rPr>
          <w:lang w:val="en-AU"/>
        </w:rPr>
        <w:t xml:space="preserve">of </w:t>
      </w:r>
      <w:r w:rsidRPr="00735025">
        <w:rPr>
          <w:lang w:val="en-AU"/>
        </w:rPr>
        <w:t xml:space="preserve">Disaster READY have been developed </w:t>
      </w:r>
      <w:r w:rsidR="0018699C" w:rsidRPr="00735025">
        <w:rPr>
          <w:lang w:val="en-AU"/>
        </w:rPr>
        <w:t xml:space="preserve">through extensive consultation over a </w:t>
      </w:r>
      <w:r w:rsidR="0071591D" w:rsidRPr="00735025">
        <w:rPr>
          <w:lang w:val="en-AU"/>
        </w:rPr>
        <w:t>five</w:t>
      </w:r>
      <w:r w:rsidR="0018699C" w:rsidRPr="00735025">
        <w:rPr>
          <w:lang w:val="en-AU"/>
        </w:rPr>
        <w:t xml:space="preserve">-month period with </w:t>
      </w:r>
      <w:r w:rsidR="00F571C9" w:rsidRPr="00735025">
        <w:rPr>
          <w:lang w:val="en-AU"/>
        </w:rPr>
        <w:t xml:space="preserve">DFAT Humanitarian Response, Risk and Recovery Branch, DFAT Posts, AHP NGOs and their local partners, </w:t>
      </w:r>
      <w:r w:rsidR="005464A9" w:rsidRPr="00735025">
        <w:rPr>
          <w:lang w:val="en-AU"/>
        </w:rPr>
        <w:t xml:space="preserve">and </w:t>
      </w:r>
      <w:r w:rsidR="00F571C9" w:rsidRPr="00735025">
        <w:rPr>
          <w:lang w:val="en-AU"/>
        </w:rPr>
        <w:t xml:space="preserve">stakeholders in each of the five countries (e.g. NDMOs and other government agencies, UN agencies, Council of Regional Organisations in the Pacific agencies, </w:t>
      </w:r>
      <w:r w:rsidR="00DE596B" w:rsidRPr="00735025">
        <w:rPr>
          <w:lang w:val="en-AU"/>
        </w:rPr>
        <w:t>DPO</w:t>
      </w:r>
      <w:r w:rsidR="00F571C9" w:rsidRPr="00735025">
        <w:rPr>
          <w:lang w:val="en-AU"/>
        </w:rPr>
        <w:t>s and the Red Cross) (see Annex 3 Design Process).</w:t>
      </w:r>
    </w:p>
    <w:p w14:paraId="26165359" w14:textId="2F683C1B" w:rsidR="00F33E25" w:rsidRPr="00394C86" w:rsidRDefault="00F33E25" w:rsidP="008C1169">
      <w:pPr>
        <w:pStyle w:val="Heading3"/>
        <w:rPr>
          <w:rFonts w:ascii="Calibri" w:hAnsi="Calibri" w:cs="Calibri"/>
          <w:lang w:val="en-AU"/>
        </w:rPr>
      </w:pPr>
      <w:bookmarkStart w:id="19" w:name="_Toc501451667"/>
      <w:r w:rsidRPr="00394C86">
        <w:rPr>
          <w:rFonts w:ascii="Calibri" w:hAnsi="Calibri" w:cs="Calibri"/>
          <w:lang w:val="en-AU"/>
        </w:rPr>
        <w:t>Purpose Statement</w:t>
      </w:r>
      <w:bookmarkEnd w:id="19"/>
    </w:p>
    <w:p w14:paraId="58A6FBE1" w14:textId="5E91D3D0" w:rsidR="00985CA6" w:rsidRPr="00394C86" w:rsidRDefault="00985CA6" w:rsidP="00985CA6">
      <w:pPr>
        <w:spacing w:after="120" w:line="276" w:lineRule="auto"/>
        <w:rPr>
          <w:color w:val="3C3C3C" w:themeColor="background2" w:themeShade="40"/>
          <w:lang w:val="en-AU"/>
        </w:rPr>
      </w:pPr>
      <w:r w:rsidRPr="00394C86">
        <w:rPr>
          <w:color w:val="3C3C3C" w:themeColor="background2" w:themeShade="40"/>
          <w:lang w:val="en-AU"/>
        </w:rPr>
        <w:t xml:space="preserve">The overarching purpose of </w:t>
      </w:r>
      <w:r w:rsidRPr="00394C86">
        <w:rPr>
          <w:rFonts w:eastAsia="SimSun"/>
          <w:color w:val="3C3C3C" w:themeColor="background2" w:themeShade="40"/>
          <w:lang w:val="en-AU"/>
        </w:rPr>
        <w:t xml:space="preserve">AHP </w:t>
      </w:r>
      <w:r w:rsidRPr="00394C86">
        <w:rPr>
          <w:color w:val="3C3C3C" w:themeColor="background2" w:themeShade="40"/>
          <w:lang w:val="en-AU"/>
        </w:rPr>
        <w:t>Disaster READY</w:t>
      </w:r>
      <w:r w:rsidRPr="00394C86">
        <w:rPr>
          <w:rStyle w:val="FootnoteReference"/>
          <w:color w:val="3C3C3C" w:themeColor="background2" w:themeShade="40"/>
          <w:lang w:val="en-AU"/>
        </w:rPr>
        <w:footnoteReference w:id="34"/>
      </w:r>
      <w:r w:rsidRPr="00394C86">
        <w:rPr>
          <w:color w:val="3C3C3C" w:themeColor="background2" w:themeShade="40"/>
          <w:lang w:val="en-AU"/>
        </w:rPr>
        <w:t xml:space="preserve"> is to: </w:t>
      </w:r>
      <w:r w:rsidR="00394C86" w:rsidRPr="00394C86">
        <w:rPr>
          <w:color w:val="3C3C3C" w:themeColor="background2" w:themeShade="40"/>
          <w:lang w:val="en-AU"/>
        </w:rPr>
        <w:br/>
      </w:r>
    </w:p>
    <w:p w14:paraId="1919BD95" w14:textId="2A41305A" w:rsidR="00985CA6" w:rsidRPr="00394C86" w:rsidRDefault="00985CA6" w:rsidP="00985CA6">
      <w:pPr>
        <w:shd w:val="clear" w:color="auto" w:fill="CACACA" w:themeFill="text1" w:themeFillTint="40"/>
        <w:spacing w:after="120" w:line="276" w:lineRule="auto"/>
        <w:jc w:val="center"/>
        <w:rPr>
          <w:b/>
          <w:color w:val="3C3C3C" w:themeColor="background2" w:themeShade="40"/>
          <w:lang w:val="en-AU"/>
        </w:rPr>
      </w:pPr>
      <w:r w:rsidRPr="00394C86">
        <w:rPr>
          <w:b/>
          <w:color w:val="3C3C3C" w:themeColor="background2" w:themeShade="40"/>
          <w:lang w:val="en-AU"/>
        </w:rPr>
        <w:t xml:space="preserve">Strengthen local humanitarian capability </w:t>
      </w:r>
      <w:r w:rsidR="00EB2BC7" w:rsidRPr="00394C86">
        <w:rPr>
          <w:b/>
          <w:color w:val="3C3C3C" w:themeColor="background2" w:themeShade="40"/>
          <w:lang w:val="en-AU"/>
        </w:rPr>
        <w:t xml:space="preserve">and preparedness </w:t>
      </w:r>
      <w:r w:rsidRPr="00394C86">
        <w:rPr>
          <w:b/>
          <w:color w:val="3C3C3C" w:themeColor="background2" w:themeShade="40"/>
          <w:lang w:val="en-AU"/>
        </w:rPr>
        <w:t xml:space="preserve">in the Pacific and Timor-Leste so that communities are better </w:t>
      </w:r>
      <w:r w:rsidR="00EB2BC7" w:rsidRPr="00394C86">
        <w:rPr>
          <w:b/>
          <w:color w:val="3C3C3C" w:themeColor="background2" w:themeShade="40"/>
          <w:lang w:val="en-AU"/>
        </w:rPr>
        <w:t>able to respond to and recover from</w:t>
      </w:r>
      <w:r w:rsidR="00DB65E8" w:rsidRPr="00394C86">
        <w:rPr>
          <w:b/>
          <w:color w:val="3C3C3C" w:themeColor="background2" w:themeShade="40"/>
          <w:lang w:val="en-AU"/>
        </w:rPr>
        <w:t xml:space="preserve"> </w:t>
      </w:r>
      <w:r w:rsidR="00186545" w:rsidRPr="00394C86">
        <w:rPr>
          <w:b/>
          <w:color w:val="3C3C3C" w:themeColor="background2" w:themeShade="40"/>
          <w:lang w:val="en-AU"/>
        </w:rPr>
        <w:t>rapid</w:t>
      </w:r>
      <w:r w:rsidR="003568A1" w:rsidRPr="00394C86">
        <w:rPr>
          <w:b/>
          <w:color w:val="3C3C3C" w:themeColor="background2" w:themeShade="40"/>
          <w:lang w:val="en-AU"/>
        </w:rPr>
        <w:t>-</w:t>
      </w:r>
      <w:r w:rsidR="00186545" w:rsidRPr="00394C86">
        <w:rPr>
          <w:b/>
          <w:color w:val="3C3C3C" w:themeColor="background2" w:themeShade="40"/>
          <w:lang w:val="en-AU"/>
        </w:rPr>
        <w:t xml:space="preserve"> and slow</w:t>
      </w:r>
      <w:r w:rsidR="003568A1" w:rsidRPr="00394C86">
        <w:rPr>
          <w:b/>
          <w:color w:val="3C3C3C" w:themeColor="background2" w:themeShade="40"/>
          <w:lang w:val="en-AU"/>
        </w:rPr>
        <w:t>-</w:t>
      </w:r>
      <w:r w:rsidR="00186545" w:rsidRPr="00394C86">
        <w:rPr>
          <w:b/>
          <w:color w:val="3C3C3C" w:themeColor="background2" w:themeShade="40"/>
          <w:lang w:val="en-AU"/>
        </w:rPr>
        <w:t xml:space="preserve">onset </w:t>
      </w:r>
      <w:r w:rsidRPr="00394C86">
        <w:rPr>
          <w:b/>
          <w:color w:val="3C3C3C" w:themeColor="background2" w:themeShade="40"/>
          <w:lang w:val="en-AU"/>
        </w:rPr>
        <w:t>disasters.</w:t>
      </w:r>
    </w:p>
    <w:p w14:paraId="7FBA9CD8" w14:textId="77777777" w:rsidR="00EA36EB" w:rsidRPr="00394C86" w:rsidRDefault="00EA36EB" w:rsidP="00985CA6">
      <w:pPr>
        <w:spacing w:after="120" w:line="276" w:lineRule="auto"/>
        <w:rPr>
          <w:color w:val="3C3C3C" w:themeColor="background2" w:themeShade="40"/>
          <w:lang w:val="en-AU"/>
        </w:rPr>
      </w:pPr>
    </w:p>
    <w:p w14:paraId="0B8AC49D" w14:textId="1EACA760" w:rsidR="004E3968" w:rsidRDefault="00985CA6" w:rsidP="00985CA6">
      <w:pPr>
        <w:spacing w:after="120" w:line="276" w:lineRule="auto"/>
        <w:rPr>
          <w:lang w:val="en-AU"/>
        </w:rPr>
      </w:pPr>
      <w:r w:rsidRPr="00735025">
        <w:rPr>
          <w:lang w:val="en-AU"/>
        </w:rPr>
        <w:t>Humanitarian capability refers to the systems, knowledge, skills and practices that enable effective action to reduce disaster risks</w:t>
      </w:r>
      <w:r w:rsidR="00DE596B" w:rsidRPr="00735025">
        <w:rPr>
          <w:lang w:val="en-AU"/>
        </w:rPr>
        <w:t>,</w:t>
      </w:r>
      <w:r w:rsidRPr="00735025">
        <w:rPr>
          <w:lang w:val="en-AU"/>
        </w:rPr>
        <w:t xml:space="preserve"> and to prepare for, respond to and recover from disasters. By focusing on communities</w:t>
      </w:r>
      <w:r w:rsidRPr="00735025">
        <w:rPr>
          <w:rFonts w:eastAsia="SimSun"/>
          <w:lang w:val="en-AU"/>
        </w:rPr>
        <w:t>,</w:t>
      </w:r>
      <w:r w:rsidRPr="00735025">
        <w:rPr>
          <w:lang w:val="en-AU"/>
        </w:rPr>
        <w:t xml:space="preserve"> the purpose notes the critical role they play in managing disasters</w:t>
      </w:r>
      <w:r w:rsidR="00DE596B" w:rsidRPr="00735025">
        <w:rPr>
          <w:lang w:val="en-AU"/>
        </w:rPr>
        <w:t xml:space="preserve"> – </w:t>
      </w:r>
      <w:r w:rsidRPr="00735025">
        <w:rPr>
          <w:lang w:val="en-AU"/>
        </w:rPr>
        <w:t xml:space="preserve">in terms of preparing themselves for disaster, and as </w:t>
      </w:r>
      <w:r w:rsidR="00217FD2" w:rsidRPr="00735025">
        <w:rPr>
          <w:lang w:val="en-AU"/>
        </w:rPr>
        <w:t xml:space="preserve">vital </w:t>
      </w:r>
      <w:r w:rsidR="00116CBA" w:rsidRPr="00735025">
        <w:rPr>
          <w:lang w:val="en-AU"/>
        </w:rPr>
        <w:t xml:space="preserve">first </w:t>
      </w:r>
      <w:r w:rsidRPr="00735025">
        <w:rPr>
          <w:lang w:val="en-AU"/>
        </w:rPr>
        <w:t xml:space="preserve">(and sometimes the only) responders. The focus reflects the established relationships and experience of </w:t>
      </w:r>
      <w:r w:rsidRPr="00735025">
        <w:rPr>
          <w:rFonts w:eastAsia="SimSun"/>
          <w:lang w:val="en-AU"/>
        </w:rPr>
        <w:t>NGOs</w:t>
      </w:r>
      <w:r w:rsidRPr="00735025">
        <w:rPr>
          <w:lang w:val="en-AU"/>
        </w:rPr>
        <w:t xml:space="preserve"> in working with communities in the Pacific and </w:t>
      </w:r>
      <w:r w:rsidR="00F3172F" w:rsidRPr="00735025">
        <w:rPr>
          <w:lang w:val="en-AU"/>
        </w:rPr>
        <w:t>Timor-Leste</w:t>
      </w:r>
      <w:r w:rsidRPr="00735025">
        <w:rPr>
          <w:lang w:val="en-AU"/>
        </w:rPr>
        <w:t xml:space="preserve"> and recognises the importance of </w:t>
      </w:r>
      <w:r w:rsidRPr="00735025">
        <w:rPr>
          <w:rFonts w:eastAsia="SimSun"/>
          <w:lang w:val="en-AU"/>
        </w:rPr>
        <w:t>localisation (</w:t>
      </w:r>
      <w:r w:rsidRPr="00735025">
        <w:rPr>
          <w:lang w:val="en-AU"/>
        </w:rPr>
        <w:t>shifting power in the humanitarian system to local actors</w:t>
      </w:r>
      <w:r w:rsidRPr="00735025">
        <w:rPr>
          <w:rFonts w:eastAsia="SimSun"/>
          <w:lang w:val="en-AU"/>
        </w:rPr>
        <w:t>).</w:t>
      </w:r>
      <w:r w:rsidRPr="00735025">
        <w:rPr>
          <w:lang w:val="en-AU"/>
        </w:rPr>
        <w:t xml:space="preserve"> The purpose statement recognises the impact of rapid</w:t>
      </w:r>
      <w:r w:rsidR="003568A1" w:rsidRPr="00735025">
        <w:rPr>
          <w:lang w:val="en-AU"/>
        </w:rPr>
        <w:t>-</w:t>
      </w:r>
      <w:r w:rsidRPr="00735025">
        <w:rPr>
          <w:lang w:val="en-AU"/>
        </w:rPr>
        <w:t>onset disasters such as cyclones, earthquakes, floods, landslides and tsunami</w:t>
      </w:r>
      <w:r w:rsidR="00DE596B" w:rsidRPr="00735025">
        <w:rPr>
          <w:lang w:val="en-AU"/>
        </w:rPr>
        <w:t xml:space="preserve"> as well as </w:t>
      </w:r>
      <w:r w:rsidR="003568A1" w:rsidRPr="00735025">
        <w:rPr>
          <w:lang w:val="en-AU"/>
        </w:rPr>
        <w:t>slow-onset</w:t>
      </w:r>
      <w:r w:rsidRPr="00735025">
        <w:rPr>
          <w:lang w:val="en-AU"/>
        </w:rPr>
        <w:t xml:space="preserve"> disasters related to climate changes such as drought</w:t>
      </w:r>
      <w:r w:rsidR="00DE596B" w:rsidRPr="00735025">
        <w:rPr>
          <w:lang w:val="en-AU"/>
        </w:rPr>
        <w:t>. Moreover, it recognises th</w:t>
      </w:r>
      <w:r w:rsidR="00DF079A" w:rsidRPr="00735025">
        <w:rPr>
          <w:lang w:val="en-AU"/>
        </w:rPr>
        <w:t>e need for recovery processes that help to reduce future risk</w:t>
      </w:r>
      <w:r w:rsidR="00186545" w:rsidRPr="00735025">
        <w:rPr>
          <w:lang w:val="en-AU"/>
        </w:rPr>
        <w:t>.</w:t>
      </w:r>
    </w:p>
    <w:p w14:paraId="609DE2FE" w14:textId="77777777" w:rsidR="004E3968" w:rsidRDefault="004E3968">
      <w:pPr>
        <w:rPr>
          <w:lang w:val="en-AU"/>
        </w:rPr>
      </w:pPr>
      <w:r>
        <w:rPr>
          <w:lang w:val="en-AU"/>
        </w:rPr>
        <w:br w:type="page"/>
      </w:r>
    </w:p>
    <w:p w14:paraId="5269AF9C" w14:textId="37D2AAED" w:rsidR="00F33E25" w:rsidRPr="00735025" w:rsidRDefault="00F33E25" w:rsidP="008C1169">
      <w:pPr>
        <w:pStyle w:val="Heading3"/>
        <w:rPr>
          <w:rFonts w:ascii="Calibri" w:hAnsi="Calibri" w:cs="Calibri"/>
          <w:color w:val="auto"/>
          <w:lang w:val="en-AU"/>
        </w:rPr>
      </w:pPr>
      <w:bookmarkStart w:id="20" w:name="_Toc501451668"/>
      <w:r w:rsidRPr="00735025">
        <w:rPr>
          <w:rFonts w:ascii="Calibri" w:hAnsi="Calibri" w:cs="Calibri"/>
          <w:color w:val="auto"/>
          <w:lang w:val="en-AU"/>
        </w:rPr>
        <w:lastRenderedPageBreak/>
        <w:t>Objectives</w:t>
      </w:r>
      <w:bookmarkEnd w:id="20"/>
    </w:p>
    <w:p w14:paraId="2DFA29F5" w14:textId="556BDC4D" w:rsidR="00985CA6" w:rsidRPr="00735025" w:rsidRDefault="00985CA6" w:rsidP="00985CA6">
      <w:pPr>
        <w:spacing w:after="120" w:line="276" w:lineRule="auto"/>
        <w:rPr>
          <w:lang w:val="en-AU"/>
        </w:rPr>
      </w:pPr>
      <w:bookmarkStart w:id="21" w:name="_Ref498343489"/>
      <w:r w:rsidRPr="00735025">
        <w:rPr>
          <w:lang w:val="en-AU"/>
        </w:rPr>
        <w:t>Five objectives (or end</w:t>
      </w:r>
      <w:r w:rsidR="00046121" w:rsidRPr="00735025">
        <w:rPr>
          <w:lang w:val="en-AU"/>
        </w:rPr>
        <w:t>-</w:t>
      </w:r>
      <w:r w:rsidRPr="00735025">
        <w:rPr>
          <w:lang w:val="en-AU"/>
        </w:rPr>
        <w:t>of</w:t>
      </w:r>
      <w:r w:rsidR="00046121" w:rsidRPr="00735025">
        <w:rPr>
          <w:lang w:val="en-AU"/>
        </w:rPr>
        <w:t>-</w:t>
      </w:r>
      <w:r w:rsidRPr="00735025">
        <w:rPr>
          <w:lang w:val="en-AU"/>
        </w:rPr>
        <w:t>investment outcomes) articulate how the purpose will be achieved. These are:</w:t>
      </w:r>
    </w:p>
    <w:p w14:paraId="71285878" w14:textId="25EF6B9D" w:rsidR="00985CA6" w:rsidRPr="00735025" w:rsidRDefault="00985CA6" w:rsidP="00985CA6">
      <w:pPr>
        <w:numPr>
          <w:ilvl w:val="0"/>
          <w:numId w:val="29"/>
        </w:numPr>
        <w:shd w:val="clear" w:color="auto" w:fill="C9ECFC" w:themeFill="text2" w:themeFillTint="33"/>
        <w:spacing w:after="120" w:line="276" w:lineRule="auto"/>
        <w:ind w:left="720"/>
        <w:contextualSpacing/>
        <w:rPr>
          <w:lang w:val="en-AU"/>
        </w:rPr>
      </w:pPr>
      <w:r w:rsidRPr="00735025">
        <w:rPr>
          <w:lang w:val="en-AU"/>
        </w:rPr>
        <w:t>Communities are better prepared for rapid</w:t>
      </w:r>
      <w:r w:rsidR="00046121" w:rsidRPr="00735025">
        <w:rPr>
          <w:lang w:val="en-AU"/>
        </w:rPr>
        <w:t>-</w:t>
      </w:r>
      <w:r w:rsidRPr="00735025">
        <w:rPr>
          <w:lang w:val="en-AU"/>
        </w:rPr>
        <w:t xml:space="preserve"> and </w:t>
      </w:r>
      <w:r w:rsidR="003568A1" w:rsidRPr="00735025">
        <w:rPr>
          <w:lang w:val="en-AU"/>
        </w:rPr>
        <w:t>slow-onset</w:t>
      </w:r>
      <w:r w:rsidRPr="00735025">
        <w:rPr>
          <w:lang w:val="en-AU"/>
        </w:rPr>
        <w:t xml:space="preserve"> disasters</w:t>
      </w:r>
    </w:p>
    <w:p w14:paraId="33D6E3D6" w14:textId="0B9E4018" w:rsidR="00985CA6" w:rsidRPr="00735025" w:rsidRDefault="00DE596B" w:rsidP="00985CA6">
      <w:pPr>
        <w:numPr>
          <w:ilvl w:val="0"/>
          <w:numId w:val="29"/>
        </w:numPr>
        <w:shd w:val="clear" w:color="auto" w:fill="C9ECFC" w:themeFill="text2" w:themeFillTint="33"/>
        <w:spacing w:after="120" w:line="276" w:lineRule="auto"/>
        <w:ind w:left="720"/>
        <w:contextualSpacing/>
        <w:rPr>
          <w:lang w:val="en-AU"/>
        </w:rPr>
      </w:pPr>
      <w:r w:rsidRPr="00735025">
        <w:rPr>
          <w:lang w:val="en-AU"/>
        </w:rPr>
        <w:t>The rights and needs of w</w:t>
      </w:r>
      <w:r w:rsidR="00985CA6" w:rsidRPr="00735025">
        <w:rPr>
          <w:lang w:val="en-AU"/>
        </w:rPr>
        <w:t>omen, people with disabilities, youth and children are being met in disaster preparedness and response at all levels</w:t>
      </w:r>
    </w:p>
    <w:p w14:paraId="55EF667A" w14:textId="77777777" w:rsidR="00985CA6" w:rsidRPr="00735025" w:rsidRDefault="00985CA6" w:rsidP="00985CA6">
      <w:pPr>
        <w:numPr>
          <w:ilvl w:val="0"/>
          <w:numId w:val="29"/>
        </w:numPr>
        <w:shd w:val="clear" w:color="auto" w:fill="C9ECFC" w:themeFill="text2" w:themeFillTint="33"/>
        <w:spacing w:after="120" w:line="276" w:lineRule="auto"/>
        <w:ind w:left="720"/>
        <w:contextualSpacing/>
        <w:rPr>
          <w:lang w:val="en-AU"/>
        </w:rPr>
      </w:pPr>
      <w:r w:rsidRPr="00735025">
        <w:rPr>
          <w:lang w:val="en-AU"/>
        </w:rPr>
        <w:t>Government, NGOs, the private sector and communities coordinate more effectively for inclusive disaster preparedness and response</w:t>
      </w:r>
    </w:p>
    <w:p w14:paraId="5C3B3913" w14:textId="2555F3FE" w:rsidR="00985CA6" w:rsidRPr="00735025" w:rsidRDefault="00985CA6" w:rsidP="00985CA6">
      <w:pPr>
        <w:numPr>
          <w:ilvl w:val="0"/>
          <w:numId w:val="29"/>
        </w:numPr>
        <w:shd w:val="clear" w:color="auto" w:fill="C9ECFC" w:themeFill="text2" w:themeFillTint="33"/>
        <w:spacing w:after="120" w:line="276" w:lineRule="auto"/>
        <w:ind w:left="720"/>
        <w:contextualSpacing/>
        <w:rPr>
          <w:lang w:val="en-AU"/>
        </w:rPr>
      </w:pPr>
      <w:r w:rsidRPr="00735025">
        <w:rPr>
          <w:lang w:val="en-AU"/>
        </w:rPr>
        <w:t>National NGOs</w:t>
      </w:r>
      <w:r w:rsidR="00EA1A98" w:rsidRPr="00735025">
        <w:rPr>
          <w:rStyle w:val="FootnoteReference"/>
          <w:lang w:val="en-AU"/>
        </w:rPr>
        <w:footnoteReference w:id="35"/>
      </w:r>
      <w:r w:rsidRPr="00735025">
        <w:rPr>
          <w:lang w:val="en-AU"/>
        </w:rPr>
        <w:t xml:space="preserve"> and </w:t>
      </w:r>
      <w:r w:rsidR="00D61ACB" w:rsidRPr="00735025">
        <w:rPr>
          <w:lang w:val="en-AU"/>
        </w:rPr>
        <w:t>faith-based</w:t>
      </w:r>
      <w:r w:rsidR="00B35B97" w:rsidRPr="00735025">
        <w:rPr>
          <w:lang w:val="en-AU"/>
        </w:rPr>
        <w:t xml:space="preserve"> organisations </w:t>
      </w:r>
      <w:r w:rsidRPr="00735025">
        <w:rPr>
          <w:lang w:val="en-AU"/>
        </w:rPr>
        <w:t>have more influence and capacity in the country humanitarian system</w:t>
      </w:r>
    </w:p>
    <w:p w14:paraId="6709772D" w14:textId="526B7922" w:rsidR="00985CA6" w:rsidRPr="00735025" w:rsidRDefault="00985CA6" w:rsidP="00985CA6">
      <w:pPr>
        <w:numPr>
          <w:ilvl w:val="0"/>
          <w:numId w:val="29"/>
        </w:numPr>
        <w:shd w:val="clear" w:color="auto" w:fill="C9ECFC" w:themeFill="text2" w:themeFillTint="33"/>
        <w:spacing w:after="120" w:line="276" w:lineRule="auto"/>
        <w:ind w:left="720"/>
        <w:contextualSpacing/>
        <w:rPr>
          <w:lang w:val="en-AU"/>
        </w:rPr>
      </w:pPr>
      <w:r w:rsidRPr="00735025">
        <w:rPr>
          <w:lang w:val="en-AU"/>
        </w:rPr>
        <w:t>AHP NGOs work effectively together and with other relevant stakeholders</w:t>
      </w:r>
      <w:r w:rsidRPr="00735025" w:rsidDel="00670206">
        <w:rPr>
          <w:lang w:val="en-AU"/>
        </w:rPr>
        <w:t xml:space="preserve"> </w:t>
      </w:r>
    </w:p>
    <w:p w14:paraId="712DDB0D" w14:textId="77777777" w:rsidR="00985CA6" w:rsidRPr="00735025" w:rsidRDefault="00985CA6" w:rsidP="00985CA6">
      <w:pPr>
        <w:spacing w:after="120" w:line="276" w:lineRule="auto"/>
        <w:rPr>
          <w:lang w:val="en-AU"/>
        </w:rPr>
      </w:pPr>
    </w:p>
    <w:p w14:paraId="7812D87A" w14:textId="05615C07" w:rsidR="00985CA6" w:rsidRPr="00735025" w:rsidRDefault="00985CA6" w:rsidP="00985CA6">
      <w:pPr>
        <w:spacing w:after="120" w:line="276" w:lineRule="auto"/>
        <w:rPr>
          <w:lang w:val="en-AU"/>
        </w:rPr>
      </w:pPr>
      <w:r w:rsidRPr="00735025">
        <w:rPr>
          <w:lang w:val="en-AU"/>
        </w:rPr>
        <w:t xml:space="preserve">The first objective focuses on the ability of communities to understand disaster </w:t>
      </w:r>
      <w:r w:rsidR="00682B90" w:rsidRPr="00735025">
        <w:rPr>
          <w:lang w:val="en-AU"/>
        </w:rPr>
        <w:t xml:space="preserve">and climate </w:t>
      </w:r>
      <w:r w:rsidRPr="00735025">
        <w:rPr>
          <w:lang w:val="en-AU"/>
        </w:rPr>
        <w:t xml:space="preserve">risks, </w:t>
      </w:r>
      <w:r w:rsidR="00682B90" w:rsidRPr="00735025">
        <w:rPr>
          <w:lang w:val="en-AU"/>
        </w:rPr>
        <w:t xml:space="preserve">to reduce risks </w:t>
      </w:r>
      <w:r w:rsidRPr="00735025">
        <w:rPr>
          <w:lang w:val="en-AU"/>
        </w:rPr>
        <w:t>and have preparedness plans in place to respond to disasters</w:t>
      </w:r>
      <w:r w:rsidR="004E390D" w:rsidRPr="00735025">
        <w:rPr>
          <w:lang w:val="en-AU"/>
        </w:rPr>
        <w:t xml:space="preserve"> as well as </w:t>
      </w:r>
      <w:r w:rsidRPr="00735025">
        <w:rPr>
          <w:lang w:val="en-AU"/>
        </w:rPr>
        <w:t xml:space="preserve">early warning systems that are accessible to all. The second objective highlights the importance of addressing the needs and rights of marginalised </w:t>
      </w:r>
      <w:r w:rsidR="004E390D" w:rsidRPr="00735025">
        <w:rPr>
          <w:lang w:val="en-AU"/>
        </w:rPr>
        <w:t>people,</w:t>
      </w:r>
      <w:r w:rsidRPr="00735025">
        <w:rPr>
          <w:lang w:val="en-AU"/>
        </w:rPr>
        <w:t xml:space="preserve"> including women, people with disabilities, youth and children in humanitarian preparedness and response. The third objective identifies the ways in which coordination between government, NGOs, the private sector and communities is necessary </w:t>
      </w:r>
      <w:r w:rsidR="004E390D" w:rsidRPr="00735025">
        <w:rPr>
          <w:lang w:val="en-AU"/>
        </w:rPr>
        <w:t xml:space="preserve">to </w:t>
      </w:r>
      <w:r w:rsidRPr="00735025">
        <w:rPr>
          <w:lang w:val="en-AU"/>
        </w:rPr>
        <w:t>ensur</w:t>
      </w:r>
      <w:r w:rsidR="004E390D" w:rsidRPr="00735025">
        <w:rPr>
          <w:lang w:val="en-AU"/>
        </w:rPr>
        <w:t>e that</w:t>
      </w:r>
      <w:r w:rsidRPr="00735025">
        <w:rPr>
          <w:lang w:val="en-AU"/>
        </w:rPr>
        <w:t xml:space="preserve"> disaster preparedness and response </w:t>
      </w:r>
      <w:r w:rsidR="004E390D" w:rsidRPr="00735025">
        <w:rPr>
          <w:lang w:val="en-AU"/>
        </w:rPr>
        <w:t xml:space="preserve">is </w:t>
      </w:r>
      <w:r w:rsidRPr="00735025">
        <w:rPr>
          <w:lang w:val="en-AU"/>
        </w:rPr>
        <w:t>inclusive and effective. The fourth objective sets out an agenda for locali</w:t>
      </w:r>
      <w:r w:rsidR="007C6B5A" w:rsidRPr="00735025">
        <w:rPr>
          <w:lang w:val="en-AU"/>
        </w:rPr>
        <w:t>s</w:t>
      </w:r>
      <w:r w:rsidRPr="00735025">
        <w:rPr>
          <w:lang w:val="en-AU"/>
        </w:rPr>
        <w:t xml:space="preserve">ation </w:t>
      </w:r>
      <w:r w:rsidR="00A17E3F" w:rsidRPr="00735025">
        <w:rPr>
          <w:lang w:val="en-AU"/>
        </w:rPr>
        <w:t xml:space="preserve">by </w:t>
      </w:r>
      <w:r w:rsidRPr="00735025">
        <w:rPr>
          <w:lang w:val="en-AU"/>
        </w:rPr>
        <w:t>increasing</w:t>
      </w:r>
      <w:r w:rsidR="00A17E3F" w:rsidRPr="00735025">
        <w:rPr>
          <w:lang w:val="en-AU"/>
        </w:rPr>
        <w:t xml:space="preserve"> the influence and capacity of </w:t>
      </w:r>
      <w:r w:rsidRPr="00735025">
        <w:rPr>
          <w:lang w:val="en-AU"/>
        </w:rPr>
        <w:t>national NGO</w:t>
      </w:r>
      <w:r w:rsidR="00A17E3F" w:rsidRPr="00735025">
        <w:rPr>
          <w:lang w:val="en-AU"/>
        </w:rPr>
        <w:t>s</w:t>
      </w:r>
      <w:r w:rsidRPr="00735025">
        <w:rPr>
          <w:lang w:val="en-AU"/>
        </w:rPr>
        <w:t xml:space="preserve"> and </w:t>
      </w:r>
      <w:r w:rsidR="00D61ACB" w:rsidRPr="00735025">
        <w:rPr>
          <w:lang w:val="en-AU"/>
        </w:rPr>
        <w:t>faith-based</w:t>
      </w:r>
      <w:r w:rsidR="00B35B97" w:rsidRPr="00735025">
        <w:rPr>
          <w:lang w:val="en-AU"/>
        </w:rPr>
        <w:t xml:space="preserve"> organisations</w:t>
      </w:r>
      <w:r w:rsidR="00A17E3F" w:rsidRPr="00735025">
        <w:rPr>
          <w:lang w:val="en-AU"/>
        </w:rPr>
        <w:t xml:space="preserve"> </w:t>
      </w:r>
      <w:r w:rsidRPr="00735025">
        <w:rPr>
          <w:lang w:val="en-AU"/>
        </w:rPr>
        <w:t xml:space="preserve">in the country humanitarian system. The fifth objective directs AHP NGOs to coordinate and build on each other’s strengths to address social inclusion at country level </w:t>
      </w:r>
      <w:r w:rsidR="00A17E3F" w:rsidRPr="00735025">
        <w:rPr>
          <w:lang w:val="en-AU"/>
        </w:rPr>
        <w:t xml:space="preserve">as well as </w:t>
      </w:r>
      <w:r w:rsidRPr="00735025">
        <w:rPr>
          <w:lang w:val="en-AU"/>
        </w:rPr>
        <w:t xml:space="preserve">to bridge the divide between development and humanitarian programming. </w:t>
      </w:r>
      <w:r w:rsidR="0018149E" w:rsidRPr="00735025">
        <w:rPr>
          <w:lang w:val="en-AU"/>
        </w:rPr>
        <w:t xml:space="preserve">This objective recognises that AHP </w:t>
      </w:r>
      <w:r w:rsidR="00DF079A" w:rsidRPr="00735025">
        <w:rPr>
          <w:lang w:val="en-AU"/>
        </w:rPr>
        <w:t xml:space="preserve">partners </w:t>
      </w:r>
      <w:r w:rsidR="0018149E" w:rsidRPr="00735025">
        <w:rPr>
          <w:lang w:val="en-AU"/>
        </w:rPr>
        <w:t>and other international actors need to be locally sensitive when deployed to support response efforts.</w:t>
      </w:r>
      <w:r w:rsidR="00447153" w:rsidRPr="00394C86">
        <w:rPr>
          <w:lang w:val="en-AU"/>
        </w:rPr>
        <w:br/>
      </w:r>
      <w:r w:rsidR="00447153" w:rsidRPr="00394C86">
        <w:rPr>
          <w:lang w:val="en-AU"/>
        </w:rPr>
        <w:br/>
      </w:r>
      <w:r w:rsidRPr="00735025">
        <w:rPr>
          <w:lang w:val="en-AU"/>
        </w:rPr>
        <w:t xml:space="preserve">The purpose and objectives are common across all five countries. </w:t>
      </w:r>
      <w:r w:rsidR="00447153" w:rsidRPr="00394C86">
        <w:rPr>
          <w:lang w:val="en-AU"/>
        </w:rPr>
        <w:br/>
      </w:r>
      <w:r w:rsidR="00447153" w:rsidRPr="00394C86">
        <w:rPr>
          <w:lang w:val="en-AU"/>
        </w:rPr>
        <w:br/>
      </w:r>
      <w:r w:rsidRPr="00735025">
        <w:rPr>
          <w:lang w:val="en-AU"/>
        </w:rPr>
        <w:t xml:space="preserve">A simple program logic outlining the relationship between the purpose and objectives is presented </w:t>
      </w:r>
      <w:r w:rsidR="00AC331B" w:rsidRPr="00735025">
        <w:rPr>
          <w:lang w:val="en-AU"/>
        </w:rPr>
        <w:t xml:space="preserve">in Figure 2 </w:t>
      </w:r>
      <w:r w:rsidRPr="00735025">
        <w:rPr>
          <w:lang w:val="en-AU"/>
        </w:rPr>
        <w:t>below</w:t>
      </w:r>
      <w:r w:rsidR="001A7B31" w:rsidRPr="00735025">
        <w:rPr>
          <w:lang w:val="en-AU"/>
        </w:rPr>
        <w:t xml:space="preserve">. It </w:t>
      </w:r>
      <w:r w:rsidRPr="00735025">
        <w:rPr>
          <w:lang w:val="en-AU"/>
        </w:rPr>
        <w:t>illustrate</w:t>
      </w:r>
      <w:r w:rsidR="00AC331B" w:rsidRPr="00735025">
        <w:rPr>
          <w:lang w:val="en-AU"/>
        </w:rPr>
        <w:t>s</w:t>
      </w:r>
      <w:r w:rsidRPr="00735025">
        <w:rPr>
          <w:lang w:val="en-AU"/>
        </w:rPr>
        <w:t xml:space="preserve"> the connection</w:t>
      </w:r>
      <w:r w:rsidR="001A7B31" w:rsidRPr="00735025">
        <w:rPr>
          <w:lang w:val="en-AU"/>
        </w:rPr>
        <w:t>s</w:t>
      </w:r>
      <w:r w:rsidRPr="00735025">
        <w:rPr>
          <w:lang w:val="en-AU"/>
        </w:rPr>
        <w:t xml:space="preserve"> between the objectives</w:t>
      </w:r>
      <w:r w:rsidR="001A7B31" w:rsidRPr="00735025">
        <w:rPr>
          <w:lang w:val="en-AU"/>
        </w:rPr>
        <w:t>:</w:t>
      </w:r>
      <w:r w:rsidRPr="00735025">
        <w:rPr>
          <w:lang w:val="en-AU"/>
        </w:rPr>
        <w:t xml:space="preserve"> Objective 2</w:t>
      </w:r>
      <w:r w:rsidR="00AC331B" w:rsidRPr="00735025">
        <w:rPr>
          <w:lang w:val="en-AU"/>
        </w:rPr>
        <w:t>,</w:t>
      </w:r>
      <w:r w:rsidRPr="00735025">
        <w:rPr>
          <w:lang w:val="en-AU"/>
        </w:rPr>
        <w:t xml:space="preserve"> relating to social inclusion</w:t>
      </w:r>
      <w:r w:rsidR="00AC331B" w:rsidRPr="00735025">
        <w:rPr>
          <w:lang w:val="en-AU"/>
        </w:rPr>
        <w:t>,</w:t>
      </w:r>
      <w:r w:rsidRPr="00735025">
        <w:rPr>
          <w:lang w:val="en-AU"/>
        </w:rPr>
        <w:t xml:space="preserve"> sits across and supports </w:t>
      </w:r>
      <w:r w:rsidR="00AC331B" w:rsidRPr="00735025">
        <w:rPr>
          <w:lang w:val="en-AU"/>
        </w:rPr>
        <w:t>O</w:t>
      </w:r>
      <w:r w:rsidRPr="00735025">
        <w:rPr>
          <w:lang w:val="en-AU"/>
        </w:rPr>
        <w:t xml:space="preserve">bjective 1 (community preparedness), </w:t>
      </w:r>
      <w:r w:rsidR="00AC331B" w:rsidRPr="00735025">
        <w:rPr>
          <w:lang w:val="en-AU"/>
        </w:rPr>
        <w:t xml:space="preserve">Objective </w:t>
      </w:r>
      <w:r w:rsidRPr="00735025">
        <w:rPr>
          <w:lang w:val="en-AU"/>
        </w:rPr>
        <w:t>3</w:t>
      </w:r>
      <w:r w:rsidR="00C30AEC" w:rsidRPr="00735025">
        <w:rPr>
          <w:lang w:val="en-AU"/>
        </w:rPr>
        <w:t xml:space="preserve"> </w:t>
      </w:r>
      <w:r w:rsidR="007A1F82" w:rsidRPr="00735025">
        <w:rPr>
          <w:lang w:val="en-AU"/>
        </w:rPr>
        <w:t>(coordination between government and other stakeholders)</w:t>
      </w:r>
      <w:r w:rsidR="00AC331B" w:rsidRPr="00735025">
        <w:rPr>
          <w:lang w:val="en-AU"/>
        </w:rPr>
        <w:t>,</w:t>
      </w:r>
      <w:r w:rsidRPr="00735025">
        <w:rPr>
          <w:lang w:val="en-AU"/>
        </w:rPr>
        <w:t xml:space="preserve"> and</w:t>
      </w:r>
      <w:r w:rsidR="00AC331B" w:rsidRPr="00735025">
        <w:rPr>
          <w:lang w:val="en-AU"/>
        </w:rPr>
        <w:t xml:space="preserve"> Objective</w:t>
      </w:r>
      <w:r w:rsidRPr="00735025">
        <w:rPr>
          <w:lang w:val="en-AU"/>
        </w:rPr>
        <w:t xml:space="preserve"> 4</w:t>
      </w:r>
      <w:r w:rsidR="007A1F82" w:rsidRPr="00735025">
        <w:rPr>
          <w:lang w:val="en-AU"/>
        </w:rPr>
        <w:t xml:space="preserve"> (national NGOs and </w:t>
      </w:r>
      <w:r w:rsidR="00D61ACB" w:rsidRPr="00735025">
        <w:rPr>
          <w:lang w:val="en-AU"/>
        </w:rPr>
        <w:t>faith-based</w:t>
      </w:r>
      <w:r w:rsidR="007A1F82" w:rsidRPr="00735025">
        <w:rPr>
          <w:lang w:val="en-AU"/>
        </w:rPr>
        <w:t xml:space="preserve"> organisations having greater influence)</w:t>
      </w:r>
      <w:r w:rsidRPr="00735025">
        <w:rPr>
          <w:lang w:val="en-AU"/>
        </w:rPr>
        <w:t>. Similarly, Objective 5 (coordination within and between NGOs) also supports progress in the other four objectives.</w:t>
      </w:r>
    </w:p>
    <w:p w14:paraId="269FCDD5" w14:textId="2C376C75" w:rsidR="00E94AC3" w:rsidRPr="00394C86" w:rsidRDefault="00E94AC3" w:rsidP="00E94AC3">
      <w:pPr>
        <w:pStyle w:val="Caption"/>
        <w:keepNext/>
        <w:spacing w:after="120" w:line="276" w:lineRule="auto"/>
        <w:rPr>
          <w:i/>
          <w:lang w:val="en-AU"/>
        </w:rPr>
      </w:pPr>
      <w:bookmarkStart w:id="22" w:name="_Ref499132787"/>
      <w:bookmarkEnd w:id="21"/>
      <w:r w:rsidRPr="00394C86">
        <w:rPr>
          <w:i/>
          <w:lang w:val="en-AU"/>
        </w:rPr>
        <w:lastRenderedPageBreak/>
        <w:t xml:space="preserve">Figure </w:t>
      </w:r>
      <w:bookmarkEnd w:id="22"/>
      <w:r w:rsidR="008D1A63" w:rsidRPr="00394C86">
        <w:rPr>
          <w:i/>
          <w:lang w:val="en-AU"/>
        </w:rPr>
        <w:t>2</w:t>
      </w:r>
      <w:r w:rsidR="00E04824" w:rsidRPr="00394C86">
        <w:rPr>
          <w:i/>
          <w:lang w:val="en-AU"/>
        </w:rPr>
        <w:t>:</w:t>
      </w:r>
      <w:r w:rsidRPr="00394C86">
        <w:rPr>
          <w:i/>
          <w:lang w:val="en-AU"/>
        </w:rPr>
        <w:t xml:space="preserve"> Program Logic for Disaster READY</w:t>
      </w:r>
    </w:p>
    <w:p w14:paraId="32934ABB" w14:textId="455D4EC6" w:rsidR="00A71FB0" w:rsidRPr="00394C86" w:rsidRDefault="00BC0C69" w:rsidP="00110706">
      <w:pPr>
        <w:rPr>
          <w:lang w:val="en-AU"/>
        </w:rPr>
      </w:pPr>
      <w:r w:rsidRPr="00BC0C69">
        <w:rPr>
          <w:noProof/>
          <w:lang w:val="en-GB" w:eastAsia="en-GB"/>
        </w:rPr>
        <w:t xml:space="preserve"> </w:t>
      </w:r>
      <w:r w:rsidRPr="00BC0C69">
        <w:rPr>
          <w:noProof/>
          <w:lang w:val="en-GB" w:eastAsia="en-GB"/>
        </w:rPr>
        <w:drawing>
          <wp:inline distT="0" distB="0" distL="0" distR="0" wp14:anchorId="7B8DC2BD" wp14:editId="784F7552">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43275"/>
                    </a:xfrm>
                    <a:prstGeom prst="rect">
                      <a:avLst/>
                    </a:prstGeom>
                  </pic:spPr>
                </pic:pic>
              </a:graphicData>
            </a:graphic>
          </wp:inline>
        </w:drawing>
      </w:r>
    </w:p>
    <w:p w14:paraId="4FFD9971" w14:textId="77777777" w:rsidR="00E94AC3" w:rsidRPr="00394C86" w:rsidRDefault="00E94AC3" w:rsidP="00E94AC3">
      <w:pPr>
        <w:pStyle w:val="Heading3"/>
        <w:spacing w:before="120" w:after="120" w:line="276" w:lineRule="auto"/>
        <w:rPr>
          <w:rFonts w:ascii="Calibri" w:hAnsi="Calibri" w:cs="Calibri"/>
          <w:color w:val="3C3C3C" w:themeColor="background2" w:themeShade="40"/>
          <w:lang w:val="en-AU"/>
        </w:rPr>
      </w:pPr>
      <w:bookmarkStart w:id="23" w:name="_Toc498958575"/>
      <w:bookmarkStart w:id="24" w:name="_Toc501451669"/>
      <w:r w:rsidRPr="00394C86">
        <w:rPr>
          <w:rFonts w:ascii="Calibri" w:hAnsi="Calibri" w:cs="Calibri"/>
          <w:color w:val="3C3C3C" w:themeColor="background2" w:themeShade="40"/>
          <w:lang w:val="en-AU"/>
        </w:rPr>
        <w:t>Outcomes</w:t>
      </w:r>
      <w:bookmarkEnd w:id="23"/>
      <w:bookmarkEnd w:id="24"/>
    </w:p>
    <w:p w14:paraId="4EF46F0C" w14:textId="77777777" w:rsidR="00E94AC3" w:rsidRPr="00716FB9" w:rsidRDefault="00E94AC3" w:rsidP="00E94AC3">
      <w:pPr>
        <w:spacing w:after="120" w:line="276" w:lineRule="auto"/>
        <w:rPr>
          <w:lang w:val="en-AU"/>
        </w:rPr>
      </w:pPr>
      <w:r w:rsidRPr="00716FB9">
        <w:rPr>
          <w:lang w:val="en-AU"/>
        </w:rPr>
        <w:t xml:space="preserve">A series of outcomes have been identified for each objective. These are discussed further below. </w:t>
      </w:r>
    </w:p>
    <w:p w14:paraId="125507E3" w14:textId="05FA7644" w:rsidR="00E94AC3" w:rsidRPr="00716FB9" w:rsidRDefault="00E94AC3" w:rsidP="00E94AC3">
      <w:pPr>
        <w:spacing w:after="120" w:line="276" w:lineRule="auto"/>
        <w:rPr>
          <w:b/>
          <w:lang w:val="en-AU"/>
        </w:rPr>
      </w:pPr>
      <w:r w:rsidRPr="00716FB9">
        <w:rPr>
          <w:b/>
          <w:lang w:val="en-AU"/>
        </w:rPr>
        <w:t>Objective 1: Communities are better prepared for rapid</w:t>
      </w:r>
      <w:r w:rsidR="001A7B31" w:rsidRPr="00716FB9">
        <w:rPr>
          <w:b/>
          <w:lang w:val="en-AU"/>
        </w:rPr>
        <w:t>-</w:t>
      </w:r>
      <w:r w:rsidRPr="00716FB9">
        <w:rPr>
          <w:b/>
          <w:lang w:val="en-AU"/>
        </w:rPr>
        <w:t xml:space="preserve"> and </w:t>
      </w:r>
      <w:r w:rsidR="003568A1" w:rsidRPr="00716FB9">
        <w:rPr>
          <w:b/>
          <w:lang w:val="en-AU"/>
        </w:rPr>
        <w:t>slow-onset</w:t>
      </w:r>
      <w:r w:rsidRPr="00716FB9">
        <w:rPr>
          <w:b/>
          <w:lang w:val="en-AU"/>
        </w:rPr>
        <w:t xml:space="preserve"> disasters</w:t>
      </w:r>
    </w:p>
    <w:p w14:paraId="63FC5956" w14:textId="47ADF618" w:rsidR="00E94AC3" w:rsidRPr="00716FB9" w:rsidRDefault="00E94AC3" w:rsidP="00716FB9">
      <w:pPr>
        <w:rPr>
          <w:lang w:val="en-AU"/>
        </w:rPr>
      </w:pPr>
      <w:r w:rsidRPr="00716FB9">
        <w:rPr>
          <w:lang w:val="en-AU"/>
        </w:rPr>
        <w:t xml:space="preserve">This objective focuses on communities understanding disaster </w:t>
      </w:r>
      <w:r w:rsidR="00682B90" w:rsidRPr="00716FB9">
        <w:rPr>
          <w:lang w:val="en-AU"/>
        </w:rPr>
        <w:t xml:space="preserve">and climate </w:t>
      </w:r>
      <w:r w:rsidRPr="00716FB9">
        <w:rPr>
          <w:lang w:val="en-AU"/>
        </w:rPr>
        <w:t>risks, taking steps to reduce these risks</w:t>
      </w:r>
      <w:r w:rsidR="001A7B31" w:rsidRPr="00716FB9">
        <w:rPr>
          <w:lang w:val="en-AU"/>
        </w:rPr>
        <w:t>,</w:t>
      </w:r>
      <w:r w:rsidRPr="00716FB9">
        <w:rPr>
          <w:lang w:val="en-AU"/>
        </w:rPr>
        <w:t xml:space="preserve"> and planning to respond to disasters when they strike.  AHP NGOs have a critical role in accessing and translating climate and disaster science to help communities understand the risks in their locality, </w:t>
      </w:r>
      <w:r w:rsidR="001A7B31" w:rsidRPr="00716FB9">
        <w:rPr>
          <w:lang w:val="en-AU"/>
        </w:rPr>
        <w:t xml:space="preserve">to </w:t>
      </w:r>
      <w:r w:rsidRPr="00716FB9">
        <w:rPr>
          <w:lang w:val="en-AU"/>
        </w:rPr>
        <w:t>develop plans to reduce risks and prepare for disasters, and to action those plans including through seeking support from sub</w:t>
      </w:r>
      <w:r w:rsidR="001A7B31" w:rsidRPr="00716FB9">
        <w:rPr>
          <w:lang w:val="en-AU"/>
        </w:rPr>
        <w:t>-</w:t>
      </w:r>
      <w:r w:rsidRPr="00716FB9">
        <w:rPr>
          <w:lang w:val="en-AU"/>
        </w:rPr>
        <w:t xml:space="preserve">national government systems. </w:t>
      </w:r>
      <w:r w:rsidR="00447153" w:rsidRPr="00716FB9">
        <w:rPr>
          <w:lang w:val="en-AU"/>
        </w:rPr>
        <w:br/>
      </w:r>
      <w:r w:rsidR="00447153" w:rsidRPr="00716FB9">
        <w:rPr>
          <w:lang w:val="en-AU"/>
        </w:rPr>
        <w:br/>
      </w:r>
      <w:r w:rsidRPr="00716FB9">
        <w:rPr>
          <w:lang w:val="en-AU"/>
        </w:rPr>
        <w:t xml:space="preserve">AHP NGOs will work with meteorological services </w:t>
      </w:r>
      <w:r w:rsidR="007A1F82" w:rsidRPr="00716FB9">
        <w:rPr>
          <w:lang w:val="en-AU"/>
        </w:rPr>
        <w:t xml:space="preserve">and NDMOs </w:t>
      </w:r>
      <w:r w:rsidRPr="00716FB9">
        <w:rPr>
          <w:lang w:val="en-AU"/>
        </w:rPr>
        <w:t>to improve early warnings so that all community members can take appropriate action before a disaster. Warnings need to be accessible to women</w:t>
      </w:r>
      <w:r w:rsidR="007A1F82" w:rsidRPr="00716FB9">
        <w:rPr>
          <w:lang w:val="en-AU"/>
        </w:rPr>
        <w:t xml:space="preserve"> and men, </w:t>
      </w:r>
      <w:r w:rsidRPr="00716FB9">
        <w:rPr>
          <w:lang w:val="en-AU"/>
        </w:rPr>
        <w:t xml:space="preserve">people with disabilities, </w:t>
      </w:r>
      <w:r w:rsidR="001A7B31" w:rsidRPr="00716FB9">
        <w:rPr>
          <w:lang w:val="en-AU"/>
        </w:rPr>
        <w:t xml:space="preserve">and </w:t>
      </w:r>
      <w:r w:rsidRPr="00716FB9">
        <w:rPr>
          <w:lang w:val="en-AU"/>
        </w:rPr>
        <w:t>children and yout</w:t>
      </w:r>
      <w:r w:rsidR="00BF43AC" w:rsidRPr="00716FB9">
        <w:rPr>
          <w:lang w:val="en-AU"/>
        </w:rPr>
        <w:t>h;</w:t>
      </w:r>
      <w:r w:rsidRPr="00716FB9">
        <w:rPr>
          <w:lang w:val="en-AU"/>
        </w:rPr>
        <w:t xml:space="preserve"> </w:t>
      </w:r>
      <w:r w:rsidR="00BF43AC" w:rsidRPr="00716FB9">
        <w:rPr>
          <w:lang w:val="en-AU"/>
        </w:rPr>
        <w:t xml:space="preserve">all </w:t>
      </w:r>
      <w:r w:rsidRPr="00716FB9">
        <w:rPr>
          <w:lang w:val="en-AU"/>
        </w:rPr>
        <w:t xml:space="preserve">should be able to act on those warnings.  In the focus countries, </w:t>
      </w:r>
      <w:r w:rsidR="00FE36B2" w:rsidRPr="00716FB9">
        <w:rPr>
          <w:lang w:val="en-AU"/>
        </w:rPr>
        <w:t>community-based</w:t>
      </w:r>
      <w:r w:rsidRPr="00716FB9">
        <w:rPr>
          <w:lang w:val="en-AU"/>
        </w:rPr>
        <w:t xml:space="preserve"> disaster and climate risk planning is a recognised element of the government disaster management system</w:t>
      </w:r>
      <w:r w:rsidR="001A7B31" w:rsidRPr="00716FB9">
        <w:rPr>
          <w:lang w:val="en-AU"/>
        </w:rPr>
        <w:t>;</w:t>
      </w:r>
      <w:r w:rsidRPr="00716FB9">
        <w:rPr>
          <w:lang w:val="en-AU"/>
        </w:rPr>
        <w:t xml:space="preserve"> </w:t>
      </w:r>
      <w:r w:rsidR="001A7B31" w:rsidRPr="00716FB9">
        <w:rPr>
          <w:lang w:val="en-AU"/>
        </w:rPr>
        <w:t>however,</w:t>
      </w:r>
      <w:r w:rsidRPr="00716FB9">
        <w:rPr>
          <w:lang w:val="en-AU"/>
        </w:rPr>
        <w:t xml:space="preserve"> coverage, consistency of approaches, inclusion and sustainability all require attention. </w:t>
      </w:r>
      <w:r w:rsidR="00447153" w:rsidRPr="00716FB9">
        <w:rPr>
          <w:lang w:val="en-AU"/>
        </w:rPr>
        <w:br/>
      </w:r>
      <w:r w:rsidR="00447153" w:rsidRPr="00716FB9">
        <w:rPr>
          <w:lang w:val="en-AU"/>
        </w:rPr>
        <w:br/>
      </w:r>
      <w:r w:rsidRPr="00716FB9">
        <w:rPr>
          <w:lang w:val="en-AU"/>
        </w:rPr>
        <w:t xml:space="preserve">The relatively modest resources at country level through Disaster READY will enable NGOs to contribute towards an increase in the coverage of </w:t>
      </w:r>
      <w:r w:rsidR="00FE36B2" w:rsidRPr="00716FB9">
        <w:rPr>
          <w:lang w:val="en-AU"/>
        </w:rPr>
        <w:t>community-based</w:t>
      </w:r>
      <w:r w:rsidRPr="00716FB9">
        <w:rPr>
          <w:lang w:val="en-AU"/>
        </w:rPr>
        <w:t xml:space="preserve"> disaster </w:t>
      </w:r>
      <w:r w:rsidR="00DF079A" w:rsidRPr="00716FB9">
        <w:rPr>
          <w:lang w:val="en-AU"/>
        </w:rPr>
        <w:t xml:space="preserve">and climate </w:t>
      </w:r>
      <w:r w:rsidRPr="00716FB9">
        <w:rPr>
          <w:lang w:val="en-AU"/>
        </w:rPr>
        <w:t>risk reduction</w:t>
      </w:r>
      <w:r w:rsidR="00DF079A" w:rsidRPr="00716FB9">
        <w:rPr>
          <w:lang w:val="en-AU"/>
        </w:rPr>
        <w:t xml:space="preserve">, </w:t>
      </w:r>
      <w:r w:rsidRPr="00716FB9">
        <w:rPr>
          <w:lang w:val="en-AU"/>
        </w:rPr>
        <w:t xml:space="preserve">preparedness </w:t>
      </w:r>
      <w:r w:rsidR="00DF079A" w:rsidRPr="00716FB9">
        <w:rPr>
          <w:lang w:val="en-AU"/>
        </w:rPr>
        <w:t xml:space="preserve">and </w:t>
      </w:r>
      <w:r w:rsidRPr="00716FB9">
        <w:rPr>
          <w:lang w:val="en-AU"/>
        </w:rPr>
        <w:t>planning.  Identifying successful approaches that are inclusive and sustainable and sharing this evidence will be a focus for annual reviews and the regional learning event.</w:t>
      </w:r>
    </w:p>
    <w:p w14:paraId="62FC2AA8" w14:textId="77777777" w:rsidR="00E94AC3" w:rsidRPr="00394C86" w:rsidRDefault="00E94AC3" w:rsidP="00E94AC3">
      <w:pPr>
        <w:spacing w:after="120" w:line="276" w:lineRule="auto"/>
        <w:rPr>
          <w:color w:val="3C3C3C" w:themeColor="background2" w:themeShade="40"/>
          <w:lang w:val="en-AU"/>
        </w:rPr>
      </w:pPr>
      <w:r w:rsidRPr="00394C86">
        <w:rPr>
          <w:color w:val="3C3C3C" w:themeColor="background2" w:themeShade="40"/>
          <w:lang w:val="en-AU"/>
        </w:rPr>
        <w:lastRenderedPageBreak/>
        <w:t>The outcomes sought through this objective are outlined below:</w:t>
      </w:r>
    </w:p>
    <w:tbl>
      <w:tblPr>
        <w:tblStyle w:val="GridTable4-Accent51"/>
        <w:tblW w:w="0" w:type="auto"/>
        <w:shd w:val="clear" w:color="auto" w:fill="C9ECFC" w:themeFill="text2" w:themeFillTint="33"/>
        <w:tblLook w:val="04A0" w:firstRow="1" w:lastRow="0" w:firstColumn="1" w:lastColumn="0" w:noHBand="0" w:noVBand="1"/>
      </w:tblPr>
      <w:tblGrid>
        <w:gridCol w:w="1788"/>
        <w:gridCol w:w="6964"/>
      </w:tblGrid>
      <w:tr w:rsidR="00E94AC3" w:rsidRPr="00656F60" w14:paraId="504FC098" w14:textId="77777777" w:rsidTr="00197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shd w:val="clear" w:color="auto" w:fill="0673A5" w:themeFill="text2" w:themeFillShade="BF"/>
          </w:tcPr>
          <w:p w14:paraId="7EFD56E1" w14:textId="77777777" w:rsidR="00E94AC3" w:rsidRPr="00716FB9" w:rsidRDefault="00E94AC3" w:rsidP="0019754C">
            <w:pPr>
              <w:spacing w:after="120" w:line="276" w:lineRule="auto"/>
              <w:contextualSpacing/>
              <w:rPr>
                <w:lang w:val="en-AU"/>
              </w:rPr>
            </w:pPr>
            <w:r w:rsidRPr="00716FB9">
              <w:rPr>
                <w:lang w:val="en-AU"/>
              </w:rPr>
              <w:t>Objective</w:t>
            </w:r>
          </w:p>
        </w:tc>
        <w:tc>
          <w:tcPr>
            <w:tcW w:w="6964" w:type="dxa"/>
            <w:shd w:val="clear" w:color="auto" w:fill="0673A5" w:themeFill="text2" w:themeFillShade="BF"/>
          </w:tcPr>
          <w:p w14:paraId="57FAEC80" w14:textId="77777777" w:rsidR="00E94AC3" w:rsidRPr="00716FB9" w:rsidRDefault="00E94AC3" w:rsidP="0019754C">
            <w:pPr>
              <w:spacing w:after="120" w:line="276" w:lineRule="auto"/>
              <w:contextualSpacing/>
              <w:cnfStyle w:val="100000000000" w:firstRow="1" w:lastRow="0" w:firstColumn="0" w:lastColumn="0" w:oddVBand="0" w:evenVBand="0" w:oddHBand="0" w:evenHBand="0" w:firstRowFirstColumn="0" w:firstRowLastColumn="0" w:lastRowFirstColumn="0" w:lastRowLastColumn="0"/>
              <w:rPr>
                <w:lang w:val="en-AU"/>
              </w:rPr>
            </w:pPr>
            <w:r w:rsidRPr="00716FB9">
              <w:rPr>
                <w:lang w:val="en-AU"/>
              </w:rPr>
              <w:t xml:space="preserve">Outcomes </w:t>
            </w:r>
          </w:p>
        </w:tc>
      </w:tr>
      <w:tr w:rsidR="00447153" w:rsidRPr="00656F60" w14:paraId="7AD910AB" w14:textId="77777777" w:rsidTr="00197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shd w:val="clear" w:color="auto" w:fill="C9ECFC" w:themeFill="text2" w:themeFillTint="33"/>
          </w:tcPr>
          <w:p w14:paraId="1E9C55BF" w14:textId="62F41064" w:rsidR="00E94AC3" w:rsidRPr="00A048D6" w:rsidRDefault="00E94AC3" w:rsidP="0019754C">
            <w:pPr>
              <w:numPr>
                <w:ilvl w:val="0"/>
                <w:numId w:val="30"/>
              </w:numPr>
              <w:spacing w:after="120" w:line="276" w:lineRule="auto"/>
              <w:contextualSpacing/>
              <w:rPr>
                <w:lang w:val="en-AU"/>
              </w:rPr>
            </w:pPr>
            <w:r w:rsidRPr="00A048D6">
              <w:rPr>
                <w:lang w:val="en-AU"/>
              </w:rPr>
              <w:t>Communities are better prepared for rapid</w:t>
            </w:r>
            <w:r w:rsidR="001A7B31" w:rsidRPr="00A048D6">
              <w:rPr>
                <w:lang w:val="en-AU"/>
              </w:rPr>
              <w:t>-</w:t>
            </w:r>
            <w:r w:rsidRPr="00A048D6">
              <w:rPr>
                <w:lang w:val="en-AU"/>
              </w:rPr>
              <w:t xml:space="preserve"> and </w:t>
            </w:r>
            <w:r w:rsidR="003568A1" w:rsidRPr="00A048D6">
              <w:rPr>
                <w:lang w:val="en-AU"/>
              </w:rPr>
              <w:t>slow-onset</w:t>
            </w:r>
            <w:r w:rsidRPr="00A048D6">
              <w:rPr>
                <w:lang w:val="en-AU"/>
              </w:rPr>
              <w:t xml:space="preserve"> disasters</w:t>
            </w:r>
          </w:p>
        </w:tc>
        <w:tc>
          <w:tcPr>
            <w:tcW w:w="6964" w:type="dxa"/>
            <w:shd w:val="clear" w:color="auto" w:fill="C9ECFC" w:themeFill="text2" w:themeFillTint="33"/>
          </w:tcPr>
          <w:p w14:paraId="6E9241A6" w14:textId="77777777" w:rsidR="00E94AC3" w:rsidRPr="00A048D6" w:rsidRDefault="00E94AC3" w:rsidP="0019754C">
            <w:pPr>
              <w:numPr>
                <w:ilvl w:val="1"/>
                <w:numId w:val="30"/>
              </w:numPr>
              <w:spacing w:after="12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A048D6">
              <w:rPr>
                <w:lang w:val="en-AU"/>
              </w:rPr>
              <w:t>Communities understand likely hazards and risks and have knowledge, skills and resources to manage these</w:t>
            </w:r>
          </w:p>
          <w:p w14:paraId="7BED5F28" w14:textId="4825C1BE" w:rsidR="00E94AC3" w:rsidRPr="00A048D6" w:rsidRDefault="00E94AC3" w:rsidP="0019754C">
            <w:pPr>
              <w:numPr>
                <w:ilvl w:val="1"/>
                <w:numId w:val="30"/>
              </w:numPr>
              <w:spacing w:after="12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A048D6">
              <w:rPr>
                <w:lang w:val="en-AU"/>
              </w:rPr>
              <w:t>Community disaster mechanisms</w:t>
            </w:r>
            <w:r w:rsidRPr="00A048D6">
              <w:rPr>
                <w:i/>
                <w:vertAlign w:val="superscript"/>
                <w:lang w:val="en-AU"/>
              </w:rPr>
              <w:footnoteReference w:id="36"/>
            </w:r>
            <w:r w:rsidRPr="00A048D6">
              <w:rPr>
                <w:lang w:val="en-AU"/>
              </w:rPr>
              <w:t xml:space="preserve"> are prepared for and </w:t>
            </w:r>
            <w:r w:rsidR="001A7B31" w:rsidRPr="00A048D6">
              <w:rPr>
                <w:lang w:val="en-AU"/>
              </w:rPr>
              <w:t xml:space="preserve">are </w:t>
            </w:r>
            <w:r w:rsidRPr="00A048D6">
              <w:rPr>
                <w:lang w:val="en-AU"/>
              </w:rPr>
              <w:t>responding to rapid</w:t>
            </w:r>
            <w:r w:rsidR="001A7B31" w:rsidRPr="00A048D6">
              <w:rPr>
                <w:lang w:val="en-AU"/>
              </w:rPr>
              <w:t>-</w:t>
            </w:r>
            <w:r w:rsidRPr="00A048D6">
              <w:rPr>
                <w:lang w:val="en-AU"/>
              </w:rPr>
              <w:t xml:space="preserve"> and </w:t>
            </w:r>
            <w:r w:rsidR="003568A1" w:rsidRPr="00A048D6">
              <w:rPr>
                <w:lang w:val="en-AU"/>
              </w:rPr>
              <w:t>slow-onset</w:t>
            </w:r>
            <w:r w:rsidRPr="00A048D6">
              <w:rPr>
                <w:lang w:val="en-AU"/>
              </w:rPr>
              <w:t xml:space="preserve"> disasters</w:t>
            </w:r>
          </w:p>
          <w:p w14:paraId="5C688A6D" w14:textId="1D5EFB67" w:rsidR="00E94AC3" w:rsidRPr="00A048D6" w:rsidRDefault="00E94AC3" w:rsidP="0019754C">
            <w:pPr>
              <w:numPr>
                <w:ilvl w:val="1"/>
                <w:numId w:val="30"/>
              </w:numPr>
              <w:spacing w:after="12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A048D6">
              <w:rPr>
                <w:lang w:val="en-AU"/>
              </w:rPr>
              <w:t>Communities understand, and seek support from sub</w:t>
            </w:r>
            <w:r w:rsidR="001A7B31" w:rsidRPr="00A048D6">
              <w:rPr>
                <w:lang w:val="en-AU"/>
              </w:rPr>
              <w:t>-</w:t>
            </w:r>
            <w:r w:rsidRPr="00A048D6">
              <w:rPr>
                <w:lang w:val="en-AU"/>
              </w:rPr>
              <w:t>national</w:t>
            </w:r>
            <w:r w:rsidRPr="00A048D6">
              <w:rPr>
                <w:i/>
                <w:vertAlign w:val="superscript"/>
                <w:lang w:val="en-AU"/>
              </w:rPr>
              <w:footnoteReference w:id="37"/>
            </w:r>
            <w:r w:rsidRPr="00A048D6">
              <w:rPr>
                <w:lang w:val="en-AU"/>
              </w:rPr>
              <w:t xml:space="preserve"> government planning and budget processes and other funding sources to prepare for and respond to disasters </w:t>
            </w:r>
          </w:p>
          <w:p w14:paraId="31934C0B" w14:textId="5FDF5D22" w:rsidR="00E94AC3" w:rsidRPr="00A048D6" w:rsidRDefault="00E94AC3" w:rsidP="0019754C">
            <w:pPr>
              <w:numPr>
                <w:ilvl w:val="1"/>
                <w:numId w:val="30"/>
              </w:numPr>
              <w:spacing w:after="12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A048D6">
              <w:rPr>
                <w:lang w:val="en-AU"/>
              </w:rPr>
              <w:t>Women, men, people with disabilities</w:t>
            </w:r>
            <w:r w:rsidR="001A7B31" w:rsidRPr="00A048D6">
              <w:rPr>
                <w:lang w:val="en-AU"/>
              </w:rPr>
              <w:t>,</w:t>
            </w:r>
            <w:r w:rsidRPr="00A048D6">
              <w:rPr>
                <w:lang w:val="en-AU"/>
              </w:rPr>
              <w:t xml:space="preserve"> and children demand, access, understand and act on early warning information for rapid</w:t>
            </w:r>
            <w:r w:rsidR="001A7B31" w:rsidRPr="00A048D6">
              <w:rPr>
                <w:lang w:val="en-AU"/>
              </w:rPr>
              <w:t>-</w:t>
            </w:r>
            <w:r w:rsidRPr="00A048D6">
              <w:rPr>
                <w:lang w:val="en-AU"/>
              </w:rPr>
              <w:t xml:space="preserve"> and </w:t>
            </w:r>
            <w:r w:rsidR="003568A1" w:rsidRPr="00A048D6">
              <w:rPr>
                <w:lang w:val="en-AU"/>
              </w:rPr>
              <w:t>slow-onset</w:t>
            </w:r>
            <w:r w:rsidRPr="00A048D6">
              <w:rPr>
                <w:lang w:val="en-AU"/>
              </w:rPr>
              <w:t xml:space="preserve"> disasters</w:t>
            </w:r>
          </w:p>
        </w:tc>
      </w:tr>
    </w:tbl>
    <w:p w14:paraId="2D68414F" w14:textId="7B8C2C1A" w:rsidR="00A048D6" w:rsidRDefault="00716FB9" w:rsidP="00E94AC3">
      <w:pPr>
        <w:spacing w:after="120" w:line="276" w:lineRule="auto"/>
        <w:rPr>
          <w:lang w:val="en-AU"/>
        </w:rPr>
      </w:pPr>
      <w:r>
        <w:rPr>
          <w:b/>
          <w:lang w:val="en-AU"/>
        </w:rPr>
        <w:br/>
      </w:r>
      <w:r w:rsidR="00E94AC3" w:rsidRPr="00716FB9">
        <w:rPr>
          <w:b/>
          <w:lang w:val="en-AU"/>
        </w:rPr>
        <w:t xml:space="preserve">Objective 2: </w:t>
      </w:r>
      <w:r w:rsidR="001A7B31" w:rsidRPr="00716FB9">
        <w:rPr>
          <w:b/>
          <w:lang w:val="en-AU"/>
        </w:rPr>
        <w:t>The rights and needs of w</w:t>
      </w:r>
      <w:r w:rsidR="00E94AC3" w:rsidRPr="00716FB9">
        <w:rPr>
          <w:b/>
          <w:lang w:val="en-AU"/>
        </w:rPr>
        <w:t>omen, people with disabilities, youth and children</w:t>
      </w:r>
      <w:r w:rsidR="001A7B31" w:rsidRPr="00716FB9">
        <w:rPr>
          <w:b/>
          <w:lang w:val="en-AU"/>
        </w:rPr>
        <w:t xml:space="preserve"> </w:t>
      </w:r>
      <w:r w:rsidR="00E94AC3" w:rsidRPr="00716FB9">
        <w:rPr>
          <w:b/>
          <w:lang w:val="en-AU"/>
        </w:rPr>
        <w:t>are being met in disaster preparedness and response at all levels</w:t>
      </w:r>
      <w:r w:rsidR="00447153" w:rsidRPr="00716FB9">
        <w:rPr>
          <w:lang w:val="en-AU"/>
        </w:rPr>
        <w:br/>
      </w:r>
      <w:r w:rsidR="00E94AC3" w:rsidRPr="00716FB9">
        <w:rPr>
          <w:lang w:val="en-AU"/>
        </w:rPr>
        <w:t xml:space="preserve">Disasters do not impact all people in the same way. Existing social exclusion and marginalisation are exacerbated during disasters.  Women, people with disabilities, children, youth and other marginalised people (such as LGBTQI people and the elderly) have less access to resources and </w:t>
      </w:r>
      <w:r w:rsidR="00964F8D" w:rsidRPr="00716FB9">
        <w:rPr>
          <w:lang w:val="en-AU"/>
        </w:rPr>
        <w:t>decision-making</w:t>
      </w:r>
      <w:r w:rsidR="00BF43AC" w:rsidRPr="00716FB9">
        <w:rPr>
          <w:lang w:val="en-AU"/>
        </w:rPr>
        <w:t xml:space="preserve">; they </w:t>
      </w:r>
      <w:r w:rsidR="00E94AC3" w:rsidRPr="00716FB9">
        <w:rPr>
          <w:lang w:val="en-AU"/>
        </w:rPr>
        <w:t xml:space="preserve">are more likely to experience harm and exploitation during disasters. </w:t>
      </w:r>
      <w:r w:rsidR="00447153" w:rsidRPr="00716FB9">
        <w:rPr>
          <w:lang w:val="en-AU"/>
        </w:rPr>
        <w:br/>
      </w:r>
      <w:r w:rsidR="00447153" w:rsidRPr="00716FB9">
        <w:rPr>
          <w:lang w:val="en-AU"/>
        </w:rPr>
        <w:br/>
      </w:r>
      <w:r w:rsidR="00E94AC3" w:rsidRPr="00716FB9">
        <w:rPr>
          <w:lang w:val="en-AU"/>
        </w:rPr>
        <w:t>For disaster preparedness and response to meet the needs and rights of marginalised people, disaster management structures, practices, procedures</w:t>
      </w:r>
      <w:r w:rsidR="0074703F" w:rsidRPr="00716FB9">
        <w:rPr>
          <w:lang w:val="en-AU"/>
        </w:rPr>
        <w:t>,</w:t>
      </w:r>
      <w:r w:rsidR="00E94AC3" w:rsidRPr="00716FB9">
        <w:rPr>
          <w:lang w:val="en-AU"/>
        </w:rPr>
        <w:t xml:space="preserve"> policies</w:t>
      </w:r>
      <w:r w:rsidR="0074703F" w:rsidRPr="00716FB9">
        <w:rPr>
          <w:lang w:val="en-AU"/>
        </w:rPr>
        <w:t>,</w:t>
      </w:r>
      <w:r w:rsidR="00E94AC3" w:rsidRPr="00716FB9">
        <w:rPr>
          <w:lang w:val="en-AU"/>
        </w:rPr>
        <w:t xml:space="preserve"> and laws from community </w:t>
      </w:r>
      <w:r w:rsidR="0074703F" w:rsidRPr="00716FB9">
        <w:rPr>
          <w:lang w:val="en-AU"/>
        </w:rPr>
        <w:t xml:space="preserve">level </w:t>
      </w:r>
      <w:r w:rsidR="00E94AC3" w:rsidRPr="00716FB9">
        <w:rPr>
          <w:lang w:val="en-AU"/>
        </w:rPr>
        <w:t xml:space="preserve">to national level need to change. Representation of marginalised people in </w:t>
      </w:r>
      <w:r w:rsidR="00964F8D" w:rsidRPr="00716FB9">
        <w:rPr>
          <w:lang w:val="en-AU"/>
        </w:rPr>
        <w:t>decision-making</w:t>
      </w:r>
      <w:r w:rsidR="00E94AC3" w:rsidRPr="00716FB9">
        <w:rPr>
          <w:lang w:val="en-AU"/>
        </w:rPr>
        <w:t xml:space="preserve"> structures is one aspect of change. </w:t>
      </w:r>
      <w:r w:rsidR="008075B6" w:rsidRPr="00716FB9">
        <w:rPr>
          <w:lang w:val="en-AU"/>
        </w:rPr>
        <w:t>All community members, including m</w:t>
      </w:r>
      <w:r w:rsidR="00E94AC3" w:rsidRPr="00716FB9">
        <w:rPr>
          <w:lang w:val="en-AU"/>
        </w:rPr>
        <w:t xml:space="preserve">en, boys, </w:t>
      </w:r>
      <w:r w:rsidR="00176BBB" w:rsidRPr="00716FB9">
        <w:rPr>
          <w:lang w:val="en-AU"/>
        </w:rPr>
        <w:t>faith</w:t>
      </w:r>
      <w:r w:rsidR="00BF43AC" w:rsidRPr="00716FB9">
        <w:rPr>
          <w:lang w:val="en-AU"/>
        </w:rPr>
        <w:t xml:space="preserve"> leaders</w:t>
      </w:r>
      <w:r w:rsidR="00176BBB" w:rsidRPr="00716FB9">
        <w:rPr>
          <w:lang w:val="en-AU"/>
        </w:rPr>
        <w:t xml:space="preserve"> </w:t>
      </w:r>
      <w:r w:rsidR="00E94AC3" w:rsidRPr="00716FB9">
        <w:rPr>
          <w:lang w:val="en-AU"/>
        </w:rPr>
        <w:t>and other community leaders also need to address the barriers of exclusion. In order to support these changes</w:t>
      </w:r>
      <w:r w:rsidR="00BF43AC" w:rsidRPr="00716FB9">
        <w:rPr>
          <w:lang w:val="en-AU"/>
        </w:rPr>
        <w:t>,</w:t>
      </w:r>
      <w:r w:rsidR="00E94AC3" w:rsidRPr="00716FB9">
        <w:rPr>
          <w:lang w:val="en-AU"/>
        </w:rPr>
        <w:t xml:space="preserve"> AHP NGOs are required to build their own capability to support inclusion in both their external work and their internal operations. This will be further supported through the </w:t>
      </w:r>
      <w:r w:rsidR="00BF1A40" w:rsidRPr="00716FB9">
        <w:rPr>
          <w:lang w:val="en-AU"/>
        </w:rPr>
        <w:t>Shared Services</w:t>
      </w:r>
      <w:r w:rsidR="00E94AC3" w:rsidRPr="00716FB9">
        <w:rPr>
          <w:lang w:val="en-AU"/>
        </w:rPr>
        <w:t xml:space="preserve"> mechanism.</w:t>
      </w:r>
      <w:r w:rsidR="00447153" w:rsidRPr="00716FB9">
        <w:rPr>
          <w:lang w:val="en-AU"/>
        </w:rPr>
        <w:br/>
      </w:r>
      <w:r w:rsidR="00447153" w:rsidRPr="00716FB9">
        <w:rPr>
          <w:lang w:val="en-AU"/>
        </w:rPr>
        <w:br/>
      </w:r>
      <w:r w:rsidR="00E94AC3" w:rsidRPr="00716FB9">
        <w:rPr>
          <w:lang w:val="en-AU"/>
        </w:rPr>
        <w:t>The outcomes sought through this objective are outlined below:</w:t>
      </w:r>
    </w:p>
    <w:tbl>
      <w:tblPr>
        <w:tblStyle w:val="TableGrid1"/>
        <w:tblW w:w="0" w:type="auto"/>
        <w:shd w:val="clear" w:color="auto" w:fill="93DAFA" w:themeFill="text2" w:themeFillTint="66"/>
        <w:tblLook w:val="04A0" w:firstRow="1" w:lastRow="0" w:firstColumn="1" w:lastColumn="0" w:noHBand="0" w:noVBand="1"/>
      </w:tblPr>
      <w:tblGrid>
        <w:gridCol w:w="1831"/>
        <w:gridCol w:w="6811"/>
      </w:tblGrid>
      <w:tr w:rsidR="00A048D6" w:rsidRPr="00A048D6" w14:paraId="0CE11946" w14:textId="77777777" w:rsidTr="0019754C">
        <w:tc>
          <w:tcPr>
            <w:tcW w:w="1831" w:type="dxa"/>
            <w:shd w:val="clear" w:color="auto" w:fill="0673A5" w:themeFill="text2" w:themeFillShade="BF"/>
          </w:tcPr>
          <w:p w14:paraId="76ABF0B3" w14:textId="77777777" w:rsidR="00E94AC3" w:rsidRPr="00716FB9" w:rsidRDefault="00E94AC3" w:rsidP="0019754C">
            <w:pPr>
              <w:spacing w:after="120" w:line="276" w:lineRule="auto"/>
              <w:contextualSpacing/>
              <w:rPr>
                <w:b/>
                <w:color w:val="FFFFFF" w:themeColor="background1"/>
                <w:lang w:val="en-AU"/>
              </w:rPr>
            </w:pPr>
            <w:r w:rsidRPr="00716FB9">
              <w:rPr>
                <w:b/>
                <w:color w:val="FFFFFF" w:themeColor="background1"/>
                <w:lang w:val="en-AU"/>
              </w:rPr>
              <w:t>Objective</w:t>
            </w:r>
          </w:p>
        </w:tc>
        <w:tc>
          <w:tcPr>
            <w:tcW w:w="6811" w:type="dxa"/>
            <w:shd w:val="clear" w:color="auto" w:fill="0673A5" w:themeFill="text2" w:themeFillShade="BF"/>
          </w:tcPr>
          <w:p w14:paraId="3D3DF4B2" w14:textId="77777777" w:rsidR="00E94AC3" w:rsidRPr="00716FB9" w:rsidRDefault="00E94AC3" w:rsidP="0019754C">
            <w:pPr>
              <w:spacing w:after="120" w:line="276" w:lineRule="auto"/>
              <w:contextualSpacing/>
              <w:rPr>
                <w:b/>
                <w:color w:val="FFFFFF" w:themeColor="background1"/>
                <w:lang w:val="en-AU"/>
              </w:rPr>
            </w:pPr>
            <w:r w:rsidRPr="00716FB9">
              <w:rPr>
                <w:b/>
                <w:color w:val="FFFFFF" w:themeColor="background1"/>
                <w:lang w:val="en-AU"/>
              </w:rPr>
              <w:t xml:space="preserve">Outcomes </w:t>
            </w:r>
          </w:p>
        </w:tc>
      </w:tr>
      <w:tr w:rsidR="00447153" w:rsidRPr="00656F60" w14:paraId="2CB95B52" w14:textId="77777777" w:rsidTr="0019754C">
        <w:tc>
          <w:tcPr>
            <w:tcW w:w="1831" w:type="dxa"/>
            <w:shd w:val="clear" w:color="auto" w:fill="C9ECFC" w:themeFill="text2" w:themeFillTint="33"/>
          </w:tcPr>
          <w:p w14:paraId="32934648" w14:textId="26BADF0F" w:rsidR="00E94AC3" w:rsidRPr="00716FB9" w:rsidRDefault="0074703F" w:rsidP="0019754C">
            <w:pPr>
              <w:numPr>
                <w:ilvl w:val="0"/>
                <w:numId w:val="30"/>
              </w:numPr>
              <w:spacing w:after="120" w:line="276" w:lineRule="auto"/>
              <w:contextualSpacing/>
              <w:rPr>
                <w:b/>
                <w:lang w:val="en-AU"/>
              </w:rPr>
            </w:pPr>
            <w:r w:rsidRPr="00716FB9">
              <w:rPr>
                <w:b/>
                <w:lang w:val="en-AU"/>
              </w:rPr>
              <w:t>The rights and needs of w</w:t>
            </w:r>
            <w:r w:rsidR="00E94AC3" w:rsidRPr="00716FB9">
              <w:rPr>
                <w:b/>
                <w:lang w:val="en-AU"/>
              </w:rPr>
              <w:t xml:space="preserve">omen, people with </w:t>
            </w:r>
            <w:r w:rsidR="00E94AC3" w:rsidRPr="00716FB9">
              <w:rPr>
                <w:b/>
                <w:lang w:val="en-AU"/>
              </w:rPr>
              <w:lastRenderedPageBreak/>
              <w:t>disabilities, youth and children are being met in disaster preparedness and response at all levels</w:t>
            </w:r>
          </w:p>
        </w:tc>
        <w:tc>
          <w:tcPr>
            <w:tcW w:w="6811" w:type="dxa"/>
            <w:shd w:val="clear" w:color="auto" w:fill="C9ECFC" w:themeFill="text2" w:themeFillTint="33"/>
          </w:tcPr>
          <w:p w14:paraId="56FC064E" w14:textId="20A2231F" w:rsidR="00E94AC3" w:rsidRPr="00716FB9" w:rsidRDefault="00E94AC3" w:rsidP="0019754C">
            <w:pPr>
              <w:numPr>
                <w:ilvl w:val="1"/>
                <w:numId w:val="30"/>
              </w:numPr>
              <w:spacing w:after="120" w:line="276" w:lineRule="auto"/>
              <w:contextualSpacing/>
              <w:rPr>
                <w:lang w:val="en-AU"/>
              </w:rPr>
            </w:pPr>
            <w:r w:rsidRPr="00716FB9">
              <w:rPr>
                <w:lang w:val="en-AU"/>
              </w:rPr>
              <w:lastRenderedPageBreak/>
              <w:t>Increased representation and capacity of women, people with disabilities, youth and children</w:t>
            </w:r>
            <w:r w:rsidRPr="00716FB9">
              <w:rPr>
                <w:vertAlign w:val="superscript"/>
                <w:lang w:val="en-AU"/>
              </w:rPr>
              <w:footnoteReference w:id="38"/>
            </w:r>
            <w:r w:rsidRPr="00716FB9">
              <w:rPr>
                <w:lang w:val="en-AU"/>
              </w:rPr>
              <w:t xml:space="preserve"> in disaster committees</w:t>
            </w:r>
            <w:r w:rsidRPr="00716FB9">
              <w:rPr>
                <w:vertAlign w:val="superscript"/>
                <w:lang w:val="en-AU"/>
              </w:rPr>
              <w:footnoteReference w:id="39"/>
            </w:r>
            <w:r w:rsidRPr="00716FB9">
              <w:rPr>
                <w:lang w:val="en-AU"/>
              </w:rPr>
              <w:t xml:space="preserve"> and planning processes, particularly at community and sub</w:t>
            </w:r>
            <w:r w:rsidR="0074703F" w:rsidRPr="00716FB9">
              <w:rPr>
                <w:lang w:val="en-AU"/>
              </w:rPr>
              <w:t>-</w:t>
            </w:r>
            <w:r w:rsidRPr="00716FB9">
              <w:rPr>
                <w:lang w:val="en-AU"/>
              </w:rPr>
              <w:t xml:space="preserve">national levels </w:t>
            </w:r>
          </w:p>
          <w:p w14:paraId="1D8AC97C" w14:textId="77777777" w:rsidR="00E94AC3" w:rsidRPr="00716FB9" w:rsidRDefault="00E94AC3" w:rsidP="0019754C">
            <w:pPr>
              <w:numPr>
                <w:ilvl w:val="1"/>
                <w:numId w:val="30"/>
              </w:numPr>
              <w:spacing w:after="120" w:line="276" w:lineRule="auto"/>
              <w:contextualSpacing/>
              <w:rPr>
                <w:lang w:val="en-AU"/>
              </w:rPr>
            </w:pPr>
            <w:r w:rsidRPr="00716FB9">
              <w:rPr>
                <w:lang w:val="en-AU"/>
              </w:rPr>
              <w:lastRenderedPageBreak/>
              <w:t xml:space="preserve">Humanitarian operating practices, procedures, policies, laws and tools from community to national level incorporate and are responsive to rights and needs of women, people with disabilities, youth and children  </w:t>
            </w:r>
          </w:p>
          <w:p w14:paraId="70606A25" w14:textId="6A0C164B" w:rsidR="00E94AC3" w:rsidRPr="00716FB9" w:rsidRDefault="00D423BE" w:rsidP="0019754C">
            <w:pPr>
              <w:numPr>
                <w:ilvl w:val="1"/>
                <w:numId w:val="30"/>
              </w:numPr>
              <w:spacing w:after="120" w:line="276" w:lineRule="auto"/>
              <w:contextualSpacing/>
              <w:rPr>
                <w:lang w:val="en-AU"/>
              </w:rPr>
            </w:pPr>
            <w:r w:rsidRPr="00716FB9">
              <w:rPr>
                <w:lang w:val="en-AU"/>
              </w:rPr>
              <w:t>All community members including m</w:t>
            </w:r>
            <w:r w:rsidR="00E94AC3" w:rsidRPr="00716FB9">
              <w:rPr>
                <w:lang w:val="en-AU"/>
              </w:rPr>
              <w:t xml:space="preserve">en and boys, </w:t>
            </w:r>
            <w:r w:rsidR="00B35B97" w:rsidRPr="00716FB9">
              <w:rPr>
                <w:lang w:val="en-AU"/>
              </w:rPr>
              <w:t>faith</w:t>
            </w:r>
            <w:r w:rsidR="00BF43AC" w:rsidRPr="00716FB9">
              <w:rPr>
                <w:lang w:val="en-AU"/>
              </w:rPr>
              <w:t xml:space="preserve"> leaders</w:t>
            </w:r>
            <w:r w:rsidR="00B35B97" w:rsidRPr="00716FB9">
              <w:rPr>
                <w:lang w:val="en-AU"/>
              </w:rPr>
              <w:t xml:space="preserve"> </w:t>
            </w:r>
            <w:r w:rsidR="00E94AC3" w:rsidRPr="00716FB9">
              <w:rPr>
                <w:lang w:val="en-AU"/>
              </w:rPr>
              <w:t>and other community leaders and government staff address the barriers that prevent women, people with disabilities, youth and children from having their rights and needs met in disaster preparedness and response</w:t>
            </w:r>
          </w:p>
          <w:p w14:paraId="3DD4EDF3" w14:textId="77777777" w:rsidR="00E94AC3" w:rsidRPr="00716FB9" w:rsidRDefault="00E94AC3" w:rsidP="0019754C">
            <w:pPr>
              <w:numPr>
                <w:ilvl w:val="1"/>
                <w:numId w:val="30"/>
              </w:numPr>
              <w:spacing w:after="120" w:line="276" w:lineRule="auto"/>
              <w:contextualSpacing/>
              <w:rPr>
                <w:lang w:val="en-AU"/>
              </w:rPr>
            </w:pPr>
            <w:r w:rsidRPr="00716FB9">
              <w:rPr>
                <w:lang w:val="en-AU"/>
              </w:rPr>
              <w:t>AHP NGOs apply more inclusive approaches in their internal and external preparedness and response planning</w:t>
            </w:r>
          </w:p>
        </w:tc>
      </w:tr>
    </w:tbl>
    <w:p w14:paraId="606B2677" w14:textId="6ED0C020" w:rsidR="00AB0FEA" w:rsidRPr="00716FB9" w:rsidRDefault="00716FB9" w:rsidP="00E94AC3">
      <w:pPr>
        <w:spacing w:after="120" w:line="276" w:lineRule="auto"/>
        <w:rPr>
          <w:lang w:val="en-AU"/>
        </w:rPr>
      </w:pPr>
      <w:r>
        <w:rPr>
          <w:b/>
          <w:lang w:val="en-AU"/>
        </w:rPr>
        <w:lastRenderedPageBreak/>
        <w:br/>
      </w:r>
      <w:r w:rsidR="00E94AC3" w:rsidRPr="00716FB9">
        <w:rPr>
          <w:b/>
          <w:lang w:val="en-AU"/>
        </w:rPr>
        <w:t xml:space="preserve">Objective 3: Government, NGOs, the private sector and communities coordinate more effectively for inclusive disaster preparedness and response </w:t>
      </w:r>
      <w:r w:rsidR="00447153" w:rsidRPr="00716FB9">
        <w:rPr>
          <w:lang w:val="en-AU"/>
        </w:rPr>
        <w:br/>
      </w:r>
      <w:r w:rsidR="00E94AC3" w:rsidRPr="00716FB9">
        <w:rPr>
          <w:lang w:val="en-AU"/>
        </w:rPr>
        <w:t xml:space="preserve">Effective coordination between government, NGOs, the private sector and communities is essential for ensuring </w:t>
      </w:r>
      <w:r w:rsidR="00BF43AC" w:rsidRPr="00716FB9">
        <w:rPr>
          <w:lang w:val="en-AU"/>
        </w:rPr>
        <w:t xml:space="preserve">that </w:t>
      </w:r>
      <w:r w:rsidR="00E94AC3" w:rsidRPr="00716FB9">
        <w:rPr>
          <w:lang w:val="en-AU"/>
        </w:rPr>
        <w:t xml:space="preserve">disaster responses address the needs of affected people. Those needs have to be rapidly assessed and communicated to disaster response command centres for appropriate and coordinated responses that engage all available resources from government, NGOs, </w:t>
      </w:r>
      <w:r w:rsidR="0074703F" w:rsidRPr="00716FB9">
        <w:rPr>
          <w:lang w:val="en-AU"/>
        </w:rPr>
        <w:t xml:space="preserve">the </w:t>
      </w:r>
      <w:r w:rsidR="00E94AC3" w:rsidRPr="00716FB9">
        <w:rPr>
          <w:lang w:val="en-AU"/>
        </w:rPr>
        <w:t>private sector</w:t>
      </w:r>
      <w:r w:rsidR="0074703F" w:rsidRPr="00716FB9">
        <w:rPr>
          <w:lang w:val="en-AU"/>
        </w:rPr>
        <w:t>,</w:t>
      </w:r>
      <w:r w:rsidR="00E94AC3" w:rsidRPr="00716FB9">
        <w:rPr>
          <w:lang w:val="en-AU"/>
        </w:rPr>
        <w:t xml:space="preserve"> and communities themselves. Disaster preparedness includes establishing and ensuring functioning systems for coordination that recognise and incorporate the strengths and resources of local actors. In each of the focus countries</w:t>
      </w:r>
      <w:r w:rsidR="0074703F" w:rsidRPr="00716FB9">
        <w:rPr>
          <w:lang w:val="en-AU"/>
        </w:rPr>
        <w:t>,</w:t>
      </w:r>
      <w:r w:rsidR="00E94AC3" w:rsidRPr="00716FB9">
        <w:rPr>
          <w:lang w:val="en-AU"/>
        </w:rPr>
        <w:t xml:space="preserve"> governments have mandated disaster committees or clusters at national and sub</w:t>
      </w:r>
      <w:r w:rsidR="0074703F" w:rsidRPr="00716FB9">
        <w:rPr>
          <w:lang w:val="en-AU"/>
        </w:rPr>
        <w:t>-</w:t>
      </w:r>
      <w:r w:rsidR="00E94AC3" w:rsidRPr="00716FB9">
        <w:rPr>
          <w:lang w:val="en-AU"/>
        </w:rPr>
        <w:t>national levels. National offices of INGOs play an important role in supporting these government</w:t>
      </w:r>
      <w:r w:rsidR="0074703F" w:rsidRPr="00716FB9">
        <w:rPr>
          <w:lang w:val="en-AU"/>
        </w:rPr>
        <w:t>-</w:t>
      </w:r>
      <w:r w:rsidR="00E94AC3" w:rsidRPr="00716FB9">
        <w:rPr>
          <w:lang w:val="en-AU"/>
        </w:rPr>
        <w:t xml:space="preserve">led committees, including as active co-chairs of national clusters or committees. </w:t>
      </w:r>
      <w:r w:rsidR="00447153" w:rsidRPr="00716FB9">
        <w:rPr>
          <w:lang w:val="en-AU"/>
        </w:rPr>
        <w:br/>
      </w:r>
      <w:r w:rsidR="00447153" w:rsidRPr="00716FB9">
        <w:rPr>
          <w:lang w:val="en-AU"/>
        </w:rPr>
        <w:br/>
      </w:r>
      <w:r w:rsidR="00E94AC3" w:rsidRPr="00716FB9">
        <w:rPr>
          <w:lang w:val="en-AU"/>
        </w:rPr>
        <w:t>This work will be supported and deepened through Disaster READY, particularly at the sub</w:t>
      </w:r>
      <w:r w:rsidR="0074703F" w:rsidRPr="00716FB9">
        <w:rPr>
          <w:lang w:val="en-AU"/>
        </w:rPr>
        <w:t>-</w:t>
      </w:r>
      <w:r w:rsidR="00E94AC3" w:rsidRPr="00716FB9">
        <w:rPr>
          <w:lang w:val="en-AU"/>
        </w:rPr>
        <w:t xml:space="preserve">national level, and with greater representation of </w:t>
      </w:r>
      <w:r w:rsidR="00F0476E" w:rsidRPr="00716FB9">
        <w:rPr>
          <w:lang w:val="en-AU"/>
        </w:rPr>
        <w:t xml:space="preserve">local NGOs and </w:t>
      </w:r>
      <w:r w:rsidR="00D61ACB" w:rsidRPr="00716FB9">
        <w:rPr>
          <w:lang w:val="en-AU"/>
        </w:rPr>
        <w:t>faith-based</w:t>
      </w:r>
      <w:r w:rsidR="00F0476E" w:rsidRPr="00716FB9">
        <w:rPr>
          <w:lang w:val="en-AU"/>
        </w:rPr>
        <w:t xml:space="preserve"> organisations</w:t>
      </w:r>
      <w:r w:rsidR="00E94AC3" w:rsidRPr="00716FB9">
        <w:rPr>
          <w:lang w:val="en-AU"/>
        </w:rPr>
        <w:t xml:space="preserve">. Critical areas for coordination include ensuring </w:t>
      </w:r>
      <w:r w:rsidR="0074703F" w:rsidRPr="00716FB9">
        <w:rPr>
          <w:lang w:val="en-AU"/>
        </w:rPr>
        <w:t xml:space="preserve">that </w:t>
      </w:r>
      <w:r w:rsidR="00E94AC3" w:rsidRPr="00716FB9">
        <w:rPr>
          <w:lang w:val="en-AU"/>
        </w:rPr>
        <w:t xml:space="preserve">evacuation centres are safe and inclusive; improved communications; improved logistics to increase efficiency and reach during a response; and </w:t>
      </w:r>
      <w:r w:rsidR="009957CC" w:rsidRPr="00716FB9">
        <w:rPr>
          <w:lang w:val="en-AU"/>
        </w:rPr>
        <w:t xml:space="preserve">adapting and </w:t>
      </w:r>
      <w:r w:rsidR="00E94AC3" w:rsidRPr="00716FB9">
        <w:rPr>
          <w:lang w:val="en-AU"/>
        </w:rPr>
        <w:t>operationalising systems for cash transfers</w:t>
      </w:r>
      <w:r w:rsidR="009957CC" w:rsidRPr="00716FB9">
        <w:rPr>
          <w:lang w:val="en-AU"/>
        </w:rPr>
        <w:t xml:space="preserve"> in some countries</w:t>
      </w:r>
      <w:r w:rsidR="00E94AC3" w:rsidRPr="00716FB9">
        <w:rPr>
          <w:lang w:val="en-AU"/>
        </w:rPr>
        <w:t>.  AHP NGOs will engage in these areas with a focus on supporting community engagement and supporting systems that are inclusive of women, people with disabilities, children and youth.</w:t>
      </w:r>
      <w:r w:rsidR="00447153" w:rsidRPr="00716FB9">
        <w:rPr>
          <w:lang w:val="en-AU"/>
        </w:rPr>
        <w:br/>
      </w:r>
      <w:r w:rsidR="00447153" w:rsidRPr="00716FB9">
        <w:rPr>
          <w:lang w:val="en-AU"/>
        </w:rPr>
        <w:br/>
      </w:r>
      <w:r w:rsidR="00E94AC3" w:rsidRPr="00716FB9">
        <w:rPr>
          <w:lang w:val="en-AU"/>
        </w:rPr>
        <w:t>The outcomes sought through this objective are outlined below:</w:t>
      </w:r>
    </w:p>
    <w:tbl>
      <w:tblPr>
        <w:tblStyle w:val="TableGrid1"/>
        <w:tblW w:w="0" w:type="auto"/>
        <w:shd w:val="clear" w:color="auto" w:fill="5DC7F8" w:themeFill="text2" w:themeFillTint="99"/>
        <w:tblLook w:val="04A0" w:firstRow="1" w:lastRow="0" w:firstColumn="1" w:lastColumn="0" w:noHBand="0" w:noVBand="1"/>
      </w:tblPr>
      <w:tblGrid>
        <w:gridCol w:w="2122"/>
        <w:gridCol w:w="6804"/>
      </w:tblGrid>
      <w:tr w:rsidR="00A048D6" w:rsidRPr="00A048D6" w14:paraId="2DE81925" w14:textId="77777777" w:rsidTr="00A048D6">
        <w:tc>
          <w:tcPr>
            <w:tcW w:w="2122" w:type="dxa"/>
            <w:shd w:val="clear" w:color="auto" w:fill="0673A5" w:themeFill="text2" w:themeFillShade="BF"/>
          </w:tcPr>
          <w:p w14:paraId="64397C77" w14:textId="77777777" w:rsidR="00E94AC3" w:rsidRPr="00716FB9" w:rsidRDefault="00E94AC3" w:rsidP="0019754C">
            <w:pPr>
              <w:spacing w:after="120" w:line="276" w:lineRule="auto"/>
              <w:contextualSpacing/>
              <w:rPr>
                <w:rFonts w:eastAsia="Corbel"/>
                <w:b/>
                <w:color w:val="FFFFFF" w:themeColor="background1"/>
                <w:lang w:val="en-AU"/>
              </w:rPr>
            </w:pPr>
            <w:r w:rsidRPr="00716FB9">
              <w:rPr>
                <w:rFonts w:eastAsia="Corbel"/>
                <w:b/>
                <w:color w:val="FFFFFF" w:themeColor="background1"/>
                <w:lang w:val="en-AU"/>
              </w:rPr>
              <w:t>Objective</w:t>
            </w:r>
          </w:p>
        </w:tc>
        <w:tc>
          <w:tcPr>
            <w:tcW w:w="6804" w:type="dxa"/>
            <w:shd w:val="clear" w:color="auto" w:fill="0673A5" w:themeFill="text2" w:themeFillShade="BF"/>
          </w:tcPr>
          <w:p w14:paraId="0C68DCB7" w14:textId="77777777" w:rsidR="00E94AC3" w:rsidRPr="00716FB9" w:rsidRDefault="00E94AC3" w:rsidP="0019754C">
            <w:pPr>
              <w:spacing w:after="120" w:line="276" w:lineRule="auto"/>
              <w:contextualSpacing/>
              <w:rPr>
                <w:rFonts w:eastAsia="Corbel"/>
                <w:b/>
                <w:color w:val="FFFFFF" w:themeColor="background1"/>
                <w:lang w:val="en-AU"/>
              </w:rPr>
            </w:pPr>
            <w:r w:rsidRPr="00716FB9">
              <w:rPr>
                <w:rFonts w:eastAsia="Corbel"/>
                <w:b/>
                <w:color w:val="FFFFFF" w:themeColor="background1"/>
                <w:lang w:val="en-AU"/>
              </w:rPr>
              <w:t>Outcomes</w:t>
            </w:r>
          </w:p>
        </w:tc>
      </w:tr>
      <w:tr w:rsidR="00447153" w:rsidRPr="00656F60" w14:paraId="0BF665B7" w14:textId="77777777" w:rsidTr="0019754C">
        <w:tc>
          <w:tcPr>
            <w:tcW w:w="2122" w:type="dxa"/>
            <w:shd w:val="clear" w:color="auto" w:fill="C9ECFC" w:themeFill="text2" w:themeFillTint="33"/>
          </w:tcPr>
          <w:p w14:paraId="3C1970EA" w14:textId="77777777" w:rsidR="00E94AC3" w:rsidRPr="0060166F" w:rsidRDefault="00E94AC3" w:rsidP="0019754C">
            <w:pPr>
              <w:numPr>
                <w:ilvl w:val="0"/>
                <w:numId w:val="30"/>
              </w:numPr>
              <w:spacing w:after="120" w:line="276" w:lineRule="auto"/>
              <w:contextualSpacing/>
              <w:rPr>
                <w:b/>
                <w:sz w:val="20"/>
                <w:lang w:val="en-AU"/>
              </w:rPr>
            </w:pPr>
            <w:r w:rsidRPr="0060166F">
              <w:rPr>
                <w:b/>
                <w:sz w:val="20"/>
                <w:lang w:val="en-AU"/>
              </w:rPr>
              <w:t xml:space="preserve">Government, NGOs, the private sector and </w:t>
            </w:r>
            <w:r w:rsidRPr="0060166F">
              <w:rPr>
                <w:b/>
                <w:sz w:val="20"/>
                <w:lang w:val="en-AU"/>
              </w:rPr>
              <w:lastRenderedPageBreak/>
              <w:t xml:space="preserve">communities coordinate more effectively for inclusive disaster preparedness and response </w:t>
            </w:r>
          </w:p>
        </w:tc>
        <w:tc>
          <w:tcPr>
            <w:tcW w:w="6804" w:type="dxa"/>
            <w:shd w:val="clear" w:color="auto" w:fill="C9ECFC" w:themeFill="text2" w:themeFillTint="33"/>
          </w:tcPr>
          <w:p w14:paraId="370D9DFF" w14:textId="460CA0C4" w:rsidR="00E94AC3" w:rsidRPr="0060166F" w:rsidRDefault="00E94AC3" w:rsidP="0019754C">
            <w:pPr>
              <w:numPr>
                <w:ilvl w:val="1"/>
                <w:numId w:val="30"/>
              </w:numPr>
              <w:spacing w:after="120" w:line="276" w:lineRule="auto"/>
              <w:contextualSpacing/>
              <w:rPr>
                <w:sz w:val="20"/>
                <w:lang w:val="en-AU"/>
              </w:rPr>
            </w:pPr>
            <w:r w:rsidRPr="0060166F">
              <w:rPr>
                <w:sz w:val="20"/>
                <w:lang w:val="en-AU"/>
              </w:rPr>
              <w:lastRenderedPageBreak/>
              <w:t>National and sub</w:t>
            </w:r>
            <w:r w:rsidR="00A55978" w:rsidRPr="0060166F">
              <w:rPr>
                <w:sz w:val="20"/>
                <w:lang w:val="en-AU"/>
              </w:rPr>
              <w:t>-</w:t>
            </w:r>
            <w:r w:rsidRPr="0060166F">
              <w:rPr>
                <w:sz w:val="20"/>
                <w:lang w:val="en-AU"/>
              </w:rPr>
              <w:t xml:space="preserve">national </w:t>
            </w:r>
            <w:r w:rsidRPr="0060166F">
              <w:rPr>
                <w:i/>
                <w:sz w:val="20"/>
                <w:vertAlign w:val="superscript"/>
                <w:lang w:val="en-AU"/>
              </w:rPr>
              <w:footnoteReference w:id="40"/>
            </w:r>
            <w:r w:rsidR="008C35AF" w:rsidRPr="0060166F">
              <w:rPr>
                <w:sz w:val="20"/>
                <w:lang w:val="en-AU"/>
              </w:rPr>
              <w:t xml:space="preserve"> </w:t>
            </w:r>
            <w:r w:rsidRPr="0060166F">
              <w:rPr>
                <w:sz w:val="20"/>
                <w:lang w:val="en-AU"/>
              </w:rPr>
              <w:t xml:space="preserve">disaster committees are functioning </w:t>
            </w:r>
          </w:p>
          <w:p w14:paraId="20730313" w14:textId="54A60D1C" w:rsidR="00E94AC3" w:rsidRPr="0060166F" w:rsidRDefault="007406D3" w:rsidP="0019754C">
            <w:pPr>
              <w:numPr>
                <w:ilvl w:val="1"/>
                <w:numId w:val="30"/>
              </w:numPr>
              <w:spacing w:after="120" w:line="276" w:lineRule="auto"/>
              <w:contextualSpacing/>
              <w:rPr>
                <w:sz w:val="20"/>
                <w:lang w:val="en-AU"/>
              </w:rPr>
            </w:pPr>
            <w:r w:rsidRPr="0060166F">
              <w:rPr>
                <w:sz w:val="20"/>
                <w:lang w:val="en-AU"/>
              </w:rPr>
              <w:t>Sub-national</w:t>
            </w:r>
            <w:r w:rsidR="00E94AC3" w:rsidRPr="0060166F">
              <w:rPr>
                <w:sz w:val="20"/>
                <w:lang w:val="en-AU"/>
              </w:rPr>
              <w:t xml:space="preserve"> governments are better able to respond to community needs during rapid</w:t>
            </w:r>
            <w:r w:rsidRPr="0060166F">
              <w:rPr>
                <w:sz w:val="20"/>
                <w:lang w:val="en-AU"/>
              </w:rPr>
              <w:t>-</w:t>
            </w:r>
            <w:r w:rsidR="00E94AC3" w:rsidRPr="0060166F">
              <w:rPr>
                <w:sz w:val="20"/>
                <w:lang w:val="en-AU"/>
              </w:rPr>
              <w:t xml:space="preserve"> and </w:t>
            </w:r>
            <w:r w:rsidR="003568A1" w:rsidRPr="0060166F">
              <w:rPr>
                <w:sz w:val="20"/>
                <w:lang w:val="en-AU"/>
              </w:rPr>
              <w:t>slow-onset</w:t>
            </w:r>
            <w:r w:rsidR="00E94AC3" w:rsidRPr="0060166F">
              <w:rPr>
                <w:sz w:val="20"/>
                <w:lang w:val="en-AU"/>
              </w:rPr>
              <w:t xml:space="preserve"> disasters</w:t>
            </w:r>
          </w:p>
          <w:p w14:paraId="7749B5A8" w14:textId="77777777" w:rsidR="00E94AC3" w:rsidRPr="0060166F" w:rsidRDefault="00E94AC3" w:rsidP="0019754C">
            <w:pPr>
              <w:numPr>
                <w:ilvl w:val="1"/>
                <w:numId w:val="30"/>
              </w:numPr>
              <w:spacing w:after="120" w:line="276" w:lineRule="auto"/>
              <w:contextualSpacing/>
              <w:rPr>
                <w:sz w:val="20"/>
                <w:lang w:val="en-AU"/>
              </w:rPr>
            </w:pPr>
            <w:r w:rsidRPr="0060166F">
              <w:rPr>
                <w:sz w:val="20"/>
                <w:lang w:val="en-AU"/>
              </w:rPr>
              <w:lastRenderedPageBreak/>
              <w:t>Evacuation centres including schools, churches and other community facilities are safe and accessible for women, people with disabilities and children</w:t>
            </w:r>
          </w:p>
          <w:p w14:paraId="61CAF25A" w14:textId="77777777" w:rsidR="00E94AC3" w:rsidRPr="0060166F" w:rsidRDefault="00E94AC3" w:rsidP="0019754C">
            <w:pPr>
              <w:numPr>
                <w:ilvl w:val="1"/>
                <w:numId w:val="30"/>
              </w:numPr>
              <w:spacing w:after="120" w:line="276" w:lineRule="auto"/>
              <w:contextualSpacing/>
              <w:rPr>
                <w:sz w:val="20"/>
                <w:lang w:val="en-AU"/>
              </w:rPr>
            </w:pPr>
            <w:r w:rsidRPr="0060166F">
              <w:rPr>
                <w:sz w:val="20"/>
                <w:lang w:val="en-AU"/>
              </w:rPr>
              <w:t>Improved two-way communications between communities and government for preparedness, early warnings, disaster impact and response</w:t>
            </w:r>
          </w:p>
          <w:p w14:paraId="41C05E82" w14:textId="0151D221" w:rsidR="00E94AC3" w:rsidRPr="0060166F" w:rsidRDefault="00E94AC3" w:rsidP="009957CC">
            <w:pPr>
              <w:numPr>
                <w:ilvl w:val="1"/>
                <w:numId w:val="30"/>
              </w:numPr>
              <w:spacing w:after="120" w:line="276" w:lineRule="auto"/>
              <w:contextualSpacing/>
              <w:rPr>
                <w:sz w:val="20"/>
                <w:lang w:val="en-AU"/>
              </w:rPr>
            </w:pPr>
            <w:r w:rsidRPr="0060166F">
              <w:rPr>
                <w:sz w:val="20"/>
                <w:lang w:val="en-AU"/>
              </w:rPr>
              <w:t xml:space="preserve">Cash transfer and logistics preparedness processes developed through regional platforms are </w:t>
            </w:r>
            <w:r w:rsidR="005205E6" w:rsidRPr="0060166F">
              <w:rPr>
                <w:sz w:val="20"/>
                <w:lang w:val="en-AU"/>
              </w:rPr>
              <w:t xml:space="preserve">adapted to and </w:t>
            </w:r>
            <w:r w:rsidRPr="0060166F">
              <w:rPr>
                <w:sz w:val="20"/>
                <w:lang w:val="en-AU"/>
              </w:rPr>
              <w:t xml:space="preserve">operational in </w:t>
            </w:r>
            <w:r w:rsidR="009957CC" w:rsidRPr="0060166F">
              <w:rPr>
                <w:sz w:val="20"/>
                <w:lang w:val="en-AU"/>
              </w:rPr>
              <w:t>some countries</w:t>
            </w:r>
          </w:p>
        </w:tc>
      </w:tr>
    </w:tbl>
    <w:p w14:paraId="72B2D046" w14:textId="40E050EF" w:rsidR="00A048D6" w:rsidRDefault="00716FB9" w:rsidP="00E94AC3">
      <w:pPr>
        <w:spacing w:after="120" w:line="276" w:lineRule="auto"/>
        <w:rPr>
          <w:lang w:val="en-AU"/>
        </w:rPr>
      </w:pPr>
      <w:r>
        <w:rPr>
          <w:b/>
          <w:lang w:val="en-AU"/>
        </w:rPr>
        <w:lastRenderedPageBreak/>
        <w:br/>
      </w:r>
      <w:r w:rsidR="00E94AC3" w:rsidRPr="00716FB9">
        <w:rPr>
          <w:b/>
          <w:lang w:val="en-AU"/>
        </w:rPr>
        <w:t xml:space="preserve">Objective 4: National NGOs and </w:t>
      </w:r>
      <w:r w:rsidR="00D61ACB" w:rsidRPr="00716FB9">
        <w:rPr>
          <w:b/>
          <w:lang w:val="en-AU"/>
        </w:rPr>
        <w:t>faith-based</w:t>
      </w:r>
      <w:r w:rsidR="00F0476E" w:rsidRPr="00716FB9">
        <w:rPr>
          <w:b/>
          <w:lang w:val="en-AU"/>
        </w:rPr>
        <w:t xml:space="preserve"> organisations </w:t>
      </w:r>
      <w:r w:rsidR="00E94AC3" w:rsidRPr="00716FB9">
        <w:rPr>
          <w:b/>
          <w:lang w:val="en-AU"/>
        </w:rPr>
        <w:t>have more influence and capacity in the country humanitarian system</w:t>
      </w:r>
      <w:r w:rsidR="00447153" w:rsidRPr="00716FB9">
        <w:rPr>
          <w:lang w:val="en-AU"/>
        </w:rPr>
        <w:br/>
      </w:r>
      <w:r w:rsidR="00E94AC3" w:rsidRPr="00716FB9">
        <w:rPr>
          <w:lang w:val="en-AU"/>
        </w:rPr>
        <w:t xml:space="preserve">National offices of INGOs, </w:t>
      </w:r>
      <w:r w:rsidR="00F0476E" w:rsidRPr="00716FB9">
        <w:rPr>
          <w:lang w:val="en-AU"/>
        </w:rPr>
        <w:t>local NGOs</w:t>
      </w:r>
      <w:r w:rsidR="007A271F" w:rsidRPr="00716FB9">
        <w:rPr>
          <w:lang w:val="en-AU"/>
        </w:rPr>
        <w:t>,</w:t>
      </w:r>
      <w:r w:rsidR="00E94AC3" w:rsidRPr="00716FB9">
        <w:rPr>
          <w:lang w:val="en-AU"/>
        </w:rPr>
        <w:t xml:space="preserve"> and </w:t>
      </w:r>
      <w:r w:rsidR="00D61ACB" w:rsidRPr="00716FB9">
        <w:rPr>
          <w:lang w:val="en-AU"/>
        </w:rPr>
        <w:t>faith-based</w:t>
      </w:r>
      <w:r w:rsidR="00F0476E" w:rsidRPr="00716FB9">
        <w:rPr>
          <w:lang w:val="en-AU"/>
        </w:rPr>
        <w:t xml:space="preserve"> organisations such as </w:t>
      </w:r>
      <w:r w:rsidR="00E94AC3" w:rsidRPr="00716FB9">
        <w:rPr>
          <w:lang w:val="en-AU"/>
        </w:rPr>
        <w:t>churches are frontline responders during disasters</w:t>
      </w:r>
      <w:r w:rsidR="00BF43AC" w:rsidRPr="00716FB9">
        <w:rPr>
          <w:lang w:val="en-AU"/>
        </w:rPr>
        <w:t xml:space="preserve">. They </w:t>
      </w:r>
      <w:r w:rsidR="00E94AC3" w:rsidRPr="00716FB9">
        <w:rPr>
          <w:lang w:val="en-AU"/>
        </w:rPr>
        <w:t xml:space="preserve">often have deep understanding of the communities </w:t>
      </w:r>
      <w:r w:rsidR="00BF43AC" w:rsidRPr="00716FB9">
        <w:rPr>
          <w:lang w:val="en-AU"/>
        </w:rPr>
        <w:t xml:space="preserve">with </w:t>
      </w:r>
      <w:r w:rsidR="00E94AC3" w:rsidRPr="00716FB9">
        <w:rPr>
          <w:lang w:val="en-AU"/>
        </w:rPr>
        <w:t>whom they work. In the focus countries</w:t>
      </w:r>
      <w:r w:rsidR="007A271F" w:rsidRPr="00716FB9">
        <w:rPr>
          <w:lang w:val="en-AU"/>
        </w:rPr>
        <w:t>,</w:t>
      </w:r>
      <w:r w:rsidR="00E94AC3" w:rsidRPr="00716FB9">
        <w:rPr>
          <w:lang w:val="en-AU"/>
        </w:rPr>
        <w:t xml:space="preserve"> these organisations are development</w:t>
      </w:r>
      <w:r w:rsidR="007A271F" w:rsidRPr="00716FB9">
        <w:rPr>
          <w:lang w:val="en-AU"/>
        </w:rPr>
        <w:t>-</w:t>
      </w:r>
      <w:r w:rsidR="00E94AC3" w:rsidRPr="00716FB9">
        <w:rPr>
          <w:lang w:val="en-AU"/>
        </w:rPr>
        <w:t>oriented</w:t>
      </w:r>
      <w:r w:rsidR="00BF43AC" w:rsidRPr="00716FB9">
        <w:rPr>
          <w:lang w:val="en-AU"/>
        </w:rPr>
        <w:t xml:space="preserve">; </w:t>
      </w:r>
      <w:r w:rsidR="00E94AC3" w:rsidRPr="00716FB9">
        <w:rPr>
          <w:lang w:val="en-AU"/>
        </w:rPr>
        <w:t>given the many recent disasters</w:t>
      </w:r>
      <w:r w:rsidR="007A271F" w:rsidRPr="00716FB9">
        <w:rPr>
          <w:lang w:val="en-AU"/>
        </w:rPr>
        <w:t xml:space="preserve">, </w:t>
      </w:r>
      <w:r w:rsidR="00BF43AC" w:rsidRPr="00716FB9">
        <w:rPr>
          <w:lang w:val="en-AU"/>
        </w:rPr>
        <w:t xml:space="preserve">however, </w:t>
      </w:r>
      <w:r w:rsidR="007A271F" w:rsidRPr="00716FB9">
        <w:rPr>
          <w:lang w:val="en-AU"/>
        </w:rPr>
        <w:t>they</w:t>
      </w:r>
      <w:r w:rsidR="00E94AC3" w:rsidRPr="00716FB9">
        <w:rPr>
          <w:lang w:val="en-AU"/>
        </w:rPr>
        <w:t xml:space="preserve"> have become increasingly engaged in humanitarian response. They can be sidelined by government and international actors during a major disaster response. </w:t>
      </w:r>
      <w:r w:rsidR="00447153" w:rsidRPr="00716FB9">
        <w:rPr>
          <w:lang w:val="en-AU"/>
        </w:rPr>
        <w:br/>
      </w:r>
      <w:r w:rsidR="00447153" w:rsidRPr="00716FB9">
        <w:rPr>
          <w:lang w:val="en-AU"/>
        </w:rPr>
        <w:br/>
      </w:r>
      <w:r w:rsidR="00E94AC3" w:rsidRPr="00716FB9">
        <w:rPr>
          <w:lang w:val="en-AU"/>
        </w:rPr>
        <w:t xml:space="preserve">AHP NGOs will support </w:t>
      </w:r>
      <w:r w:rsidR="00F0476E" w:rsidRPr="00716FB9">
        <w:rPr>
          <w:lang w:val="en-AU"/>
        </w:rPr>
        <w:t>local NGOs</w:t>
      </w:r>
      <w:r w:rsidR="00E94AC3" w:rsidRPr="00716FB9">
        <w:rPr>
          <w:lang w:val="en-AU"/>
        </w:rPr>
        <w:t xml:space="preserve">, </w:t>
      </w:r>
      <w:r w:rsidR="00D61ACB" w:rsidRPr="00716FB9">
        <w:rPr>
          <w:lang w:val="en-AU"/>
        </w:rPr>
        <w:t>faith-based</w:t>
      </w:r>
      <w:r w:rsidR="00B35B97" w:rsidRPr="00716FB9">
        <w:rPr>
          <w:lang w:val="en-AU"/>
        </w:rPr>
        <w:t xml:space="preserve"> organisations</w:t>
      </w:r>
      <w:r w:rsidR="007A271F" w:rsidRPr="00716FB9">
        <w:rPr>
          <w:lang w:val="en-AU"/>
        </w:rPr>
        <w:t>,</w:t>
      </w:r>
      <w:r w:rsidR="00B35B97" w:rsidRPr="00716FB9">
        <w:rPr>
          <w:lang w:val="en-AU"/>
        </w:rPr>
        <w:t xml:space="preserve"> </w:t>
      </w:r>
      <w:r w:rsidR="00E94AC3" w:rsidRPr="00716FB9">
        <w:rPr>
          <w:lang w:val="en-AU"/>
        </w:rPr>
        <w:t xml:space="preserve">and national offices of INGOs to build their organisational capacity for disaster response and preparedness </w:t>
      </w:r>
      <w:r w:rsidR="00BF43AC" w:rsidRPr="00716FB9">
        <w:rPr>
          <w:lang w:val="en-AU"/>
        </w:rPr>
        <w:t>in order for them to</w:t>
      </w:r>
      <w:r w:rsidR="00E94AC3" w:rsidRPr="00716FB9">
        <w:rPr>
          <w:lang w:val="en-AU"/>
        </w:rPr>
        <w:t xml:space="preserve"> take a more active, informed role both before and during disasters. Th</w:t>
      </w:r>
      <w:r w:rsidR="007A271F" w:rsidRPr="00716FB9">
        <w:rPr>
          <w:lang w:val="en-AU"/>
        </w:rPr>
        <w:t>is</w:t>
      </w:r>
      <w:r w:rsidR="00E94AC3" w:rsidRPr="00716FB9">
        <w:rPr>
          <w:lang w:val="en-AU"/>
        </w:rPr>
        <w:t xml:space="preserve"> objective recognises that localisation in the focus countries is both about decentralisation by AHP NGOs to country offices and</w:t>
      </w:r>
      <w:r w:rsidR="007A271F" w:rsidRPr="00716FB9">
        <w:rPr>
          <w:lang w:val="en-AU"/>
        </w:rPr>
        <w:t>,</w:t>
      </w:r>
      <w:r w:rsidR="00E94AC3" w:rsidRPr="00716FB9">
        <w:rPr>
          <w:lang w:val="en-AU"/>
        </w:rPr>
        <w:t xml:space="preserve"> in some </w:t>
      </w:r>
      <w:r w:rsidR="007A271F" w:rsidRPr="00716FB9">
        <w:rPr>
          <w:lang w:val="en-AU"/>
        </w:rPr>
        <w:t xml:space="preserve">cases, </w:t>
      </w:r>
      <w:r w:rsidR="00E94AC3" w:rsidRPr="00716FB9">
        <w:rPr>
          <w:lang w:val="en-AU"/>
        </w:rPr>
        <w:t>more radical transformation</w:t>
      </w:r>
      <w:r w:rsidR="007A271F" w:rsidRPr="00716FB9">
        <w:rPr>
          <w:lang w:val="en-AU"/>
        </w:rPr>
        <w:t>, e.g.</w:t>
      </w:r>
      <w:r w:rsidR="00E94AC3" w:rsidRPr="00716FB9">
        <w:rPr>
          <w:lang w:val="en-AU"/>
        </w:rPr>
        <w:t xml:space="preserve"> where strategic, operational and financial decisions are made indisputably by </w:t>
      </w:r>
      <w:r w:rsidR="00F0476E" w:rsidRPr="00716FB9">
        <w:rPr>
          <w:lang w:val="en-AU"/>
        </w:rPr>
        <w:t>local NGOs</w:t>
      </w:r>
      <w:r w:rsidR="00E94AC3" w:rsidRPr="00716FB9">
        <w:rPr>
          <w:lang w:val="en-AU"/>
        </w:rPr>
        <w:t xml:space="preserve"> and </w:t>
      </w:r>
      <w:r w:rsidR="00D61ACB" w:rsidRPr="00716FB9">
        <w:rPr>
          <w:lang w:val="en-AU"/>
        </w:rPr>
        <w:t>faith-based</w:t>
      </w:r>
      <w:r w:rsidR="00B35B97" w:rsidRPr="00716FB9">
        <w:rPr>
          <w:lang w:val="en-AU"/>
        </w:rPr>
        <w:t xml:space="preserve"> organisations</w:t>
      </w:r>
      <w:r w:rsidR="00E94AC3" w:rsidRPr="00716FB9">
        <w:rPr>
          <w:lang w:val="en-AU"/>
        </w:rPr>
        <w:t xml:space="preserve">. These elements of localisation will increase the prospect that national NGOs will be recognised as key partners of government during a disaster response and increase the likelihood that responses will meet the needs of affected people.  </w:t>
      </w:r>
      <w:r w:rsidR="00447153" w:rsidRPr="00716FB9">
        <w:rPr>
          <w:lang w:val="en-AU"/>
        </w:rPr>
        <w:br/>
      </w:r>
      <w:r w:rsidR="00447153" w:rsidRPr="00716FB9">
        <w:rPr>
          <w:lang w:val="en-AU"/>
        </w:rPr>
        <w:br/>
      </w:r>
      <w:r w:rsidR="00E94AC3" w:rsidRPr="00716FB9">
        <w:rPr>
          <w:lang w:val="en-AU"/>
        </w:rPr>
        <w:t>The outcomes sought through this objective are outlined belo</w:t>
      </w:r>
      <w:r w:rsidR="00657E60" w:rsidRPr="00716FB9">
        <w:rPr>
          <w:lang w:val="en-AU"/>
        </w:rPr>
        <w:t>w:</w:t>
      </w:r>
    </w:p>
    <w:tbl>
      <w:tblPr>
        <w:tblStyle w:val="TableGrid1"/>
        <w:tblW w:w="0" w:type="auto"/>
        <w:tblLook w:val="04A0" w:firstRow="1" w:lastRow="0" w:firstColumn="1" w:lastColumn="0" w:noHBand="0" w:noVBand="1"/>
      </w:tblPr>
      <w:tblGrid>
        <w:gridCol w:w="2263"/>
        <w:gridCol w:w="7087"/>
      </w:tblGrid>
      <w:tr w:rsidR="00C22807" w:rsidRPr="00A048D6" w14:paraId="2461ADBD" w14:textId="77777777" w:rsidTr="00C22807">
        <w:trPr>
          <w:trHeight w:val="245"/>
        </w:trPr>
        <w:tc>
          <w:tcPr>
            <w:tcW w:w="2263" w:type="dxa"/>
            <w:shd w:val="clear" w:color="auto" w:fill="0673A5" w:themeFill="text2" w:themeFillShade="BF"/>
          </w:tcPr>
          <w:p w14:paraId="109DF0E3" w14:textId="77777777" w:rsidR="00E94AC3" w:rsidRPr="00716FB9" w:rsidRDefault="00E94AC3" w:rsidP="0019754C">
            <w:pPr>
              <w:spacing w:after="120" w:line="276" w:lineRule="auto"/>
              <w:contextualSpacing/>
              <w:rPr>
                <w:rFonts w:eastAsia="Corbel"/>
                <w:b/>
                <w:color w:val="FFFFFF" w:themeColor="background1"/>
                <w:sz w:val="20"/>
                <w:lang w:val="en-AU"/>
              </w:rPr>
            </w:pPr>
            <w:r w:rsidRPr="00716FB9">
              <w:rPr>
                <w:rFonts w:eastAsia="Corbel"/>
                <w:b/>
                <w:color w:val="FFFFFF" w:themeColor="background1"/>
                <w:sz w:val="20"/>
                <w:lang w:val="en-AU"/>
              </w:rPr>
              <w:t>Objective</w:t>
            </w:r>
          </w:p>
        </w:tc>
        <w:tc>
          <w:tcPr>
            <w:tcW w:w="7087" w:type="dxa"/>
            <w:shd w:val="clear" w:color="auto" w:fill="0673A5" w:themeFill="text2" w:themeFillShade="BF"/>
          </w:tcPr>
          <w:p w14:paraId="162F01B8" w14:textId="77777777" w:rsidR="00E94AC3" w:rsidRPr="00716FB9" w:rsidRDefault="00E94AC3" w:rsidP="0019754C">
            <w:pPr>
              <w:spacing w:after="120" w:line="276" w:lineRule="auto"/>
              <w:contextualSpacing/>
              <w:rPr>
                <w:rFonts w:eastAsia="Corbel"/>
                <w:b/>
                <w:color w:val="FFFFFF" w:themeColor="background1"/>
                <w:sz w:val="20"/>
                <w:lang w:val="en-AU"/>
              </w:rPr>
            </w:pPr>
            <w:r w:rsidRPr="00716FB9">
              <w:rPr>
                <w:rFonts w:eastAsia="Corbel"/>
                <w:b/>
                <w:color w:val="FFFFFF" w:themeColor="background1"/>
                <w:sz w:val="20"/>
                <w:lang w:val="en-AU"/>
              </w:rPr>
              <w:t>Outcomes</w:t>
            </w:r>
          </w:p>
        </w:tc>
      </w:tr>
      <w:tr w:rsidR="00C22807" w:rsidRPr="00394C86" w14:paraId="62F2B3EA" w14:textId="77777777" w:rsidTr="0060166F">
        <w:trPr>
          <w:trHeight w:val="2312"/>
        </w:trPr>
        <w:tc>
          <w:tcPr>
            <w:tcW w:w="2263" w:type="dxa"/>
            <w:shd w:val="clear" w:color="auto" w:fill="C9ECFC" w:themeFill="text2" w:themeFillTint="33"/>
          </w:tcPr>
          <w:p w14:paraId="5252E07C" w14:textId="3A6E2F2A" w:rsidR="00E94AC3" w:rsidRPr="00716FB9" w:rsidRDefault="00E94AC3" w:rsidP="00F0476E">
            <w:pPr>
              <w:numPr>
                <w:ilvl w:val="0"/>
                <w:numId w:val="30"/>
              </w:numPr>
              <w:spacing w:after="120" w:line="276" w:lineRule="auto"/>
              <w:contextualSpacing/>
              <w:rPr>
                <w:b/>
                <w:sz w:val="20"/>
                <w:lang w:val="en-AU"/>
              </w:rPr>
            </w:pPr>
            <w:r w:rsidRPr="00716FB9">
              <w:rPr>
                <w:b/>
                <w:sz w:val="20"/>
                <w:lang w:val="en-AU"/>
              </w:rPr>
              <w:t xml:space="preserve">National NGOs and </w:t>
            </w:r>
            <w:r w:rsidR="00F0476E" w:rsidRPr="00716FB9">
              <w:rPr>
                <w:b/>
                <w:sz w:val="20"/>
                <w:lang w:val="en-AU"/>
              </w:rPr>
              <w:t>faith</w:t>
            </w:r>
            <w:r w:rsidR="00D61ACB" w:rsidRPr="00716FB9">
              <w:rPr>
                <w:b/>
                <w:sz w:val="20"/>
                <w:lang w:val="en-AU"/>
              </w:rPr>
              <w:t>-</w:t>
            </w:r>
            <w:r w:rsidR="00F0476E" w:rsidRPr="00716FB9">
              <w:rPr>
                <w:b/>
                <w:sz w:val="20"/>
                <w:lang w:val="en-AU"/>
              </w:rPr>
              <w:t xml:space="preserve">based organisations </w:t>
            </w:r>
            <w:r w:rsidRPr="00716FB9">
              <w:rPr>
                <w:b/>
                <w:sz w:val="20"/>
                <w:lang w:val="en-AU"/>
              </w:rPr>
              <w:t>have more influence and capacity in the country humanitarian system</w:t>
            </w:r>
          </w:p>
        </w:tc>
        <w:tc>
          <w:tcPr>
            <w:tcW w:w="7087" w:type="dxa"/>
            <w:shd w:val="clear" w:color="auto" w:fill="C9ECFC" w:themeFill="text2" w:themeFillTint="33"/>
          </w:tcPr>
          <w:p w14:paraId="507AD10F" w14:textId="73340764" w:rsidR="00E94AC3" w:rsidRPr="00716FB9" w:rsidRDefault="00F0476E" w:rsidP="0019754C">
            <w:pPr>
              <w:numPr>
                <w:ilvl w:val="1"/>
                <w:numId w:val="30"/>
              </w:numPr>
              <w:spacing w:after="120" w:line="276" w:lineRule="auto"/>
              <w:contextualSpacing/>
              <w:rPr>
                <w:sz w:val="20"/>
                <w:lang w:val="en-AU"/>
              </w:rPr>
            </w:pPr>
            <w:r w:rsidRPr="00716FB9">
              <w:rPr>
                <w:sz w:val="20"/>
                <w:lang w:val="en-AU"/>
              </w:rPr>
              <w:t xml:space="preserve">Local NGOs </w:t>
            </w:r>
            <w:r w:rsidR="00E94AC3" w:rsidRPr="00716FB9">
              <w:rPr>
                <w:sz w:val="20"/>
                <w:lang w:val="en-AU"/>
              </w:rPr>
              <w:t xml:space="preserve">and </w:t>
            </w:r>
            <w:r w:rsidR="00D61ACB" w:rsidRPr="00716FB9">
              <w:rPr>
                <w:sz w:val="20"/>
                <w:lang w:val="en-AU"/>
              </w:rPr>
              <w:t>faith-based</w:t>
            </w:r>
            <w:r w:rsidRPr="00716FB9">
              <w:rPr>
                <w:sz w:val="20"/>
                <w:lang w:val="en-AU"/>
              </w:rPr>
              <w:t xml:space="preserve"> organisations </w:t>
            </w:r>
            <w:r w:rsidR="00E94AC3" w:rsidRPr="00716FB9">
              <w:rPr>
                <w:sz w:val="20"/>
                <w:lang w:val="en-AU"/>
              </w:rPr>
              <w:t xml:space="preserve">are better represented in national and </w:t>
            </w:r>
            <w:r w:rsidR="007406D3" w:rsidRPr="00716FB9">
              <w:rPr>
                <w:sz w:val="20"/>
                <w:lang w:val="en-AU"/>
              </w:rPr>
              <w:t>sub-national</w:t>
            </w:r>
            <w:r w:rsidR="00E94AC3" w:rsidRPr="00716FB9">
              <w:rPr>
                <w:sz w:val="20"/>
                <w:lang w:val="en-AU"/>
              </w:rPr>
              <w:t xml:space="preserve"> disaster coordination mechanisms</w:t>
            </w:r>
          </w:p>
          <w:p w14:paraId="12B30864" w14:textId="2E0EA72E" w:rsidR="00E94AC3" w:rsidRPr="00716FB9" w:rsidRDefault="00E94AC3" w:rsidP="0019754C">
            <w:pPr>
              <w:numPr>
                <w:ilvl w:val="1"/>
                <w:numId w:val="30"/>
              </w:numPr>
              <w:spacing w:after="120" w:line="276" w:lineRule="auto"/>
              <w:contextualSpacing/>
              <w:rPr>
                <w:sz w:val="20"/>
                <w:lang w:val="en-AU"/>
              </w:rPr>
            </w:pPr>
            <w:r w:rsidRPr="00716FB9">
              <w:rPr>
                <w:sz w:val="20"/>
                <w:lang w:val="en-AU"/>
              </w:rPr>
              <w:t xml:space="preserve">National NGOs </w:t>
            </w:r>
            <w:r w:rsidR="00716FB9">
              <w:rPr>
                <w:sz w:val="20"/>
                <w:lang w:val="en-AU"/>
              </w:rPr>
              <w:t xml:space="preserve">and faith based organisations </w:t>
            </w:r>
            <w:r w:rsidRPr="00716FB9">
              <w:rPr>
                <w:sz w:val="20"/>
                <w:lang w:val="en-AU"/>
              </w:rPr>
              <w:t>have improved organi</w:t>
            </w:r>
            <w:r w:rsidR="00176BBB" w:rsidRPr="00716FB9">
              <w:rPr>
                <w:sz w:val="20"/>
                <w:lang w:val="en-AU"/>
              </w:rPr>
              <w:t>s</w:t>
            </w:r>
            <w:r w:rsidRPr="00716FB9">
              <w:rPr>
                <w:sz w:val="20"/>
                <w:lang w:val="en-AU"/>
              </w:rPr>
              <w:t>ational capacity for disaster preparedness and response</w:t>
            </w:r>
            <w:r w:rsidR="006B66A4" w:rsidRPr="00716FB9">
              <w:rPr>
                <w:sz w:val="20"/>
                <w:lang w:val="en-AU"/>
              </w:rPr>
              <w:t>,</w:t>
            </w:r>
            <w:r w:rsidRPr="00716FB9">
              <w:rPr>
                <w:sz w:val="20"/>
                <w:lang w:val="en-AU"/>
              </w:rPr>
              <w:t xml:space="preserve"> including policies, processes, equipment and distribution systems</w:t>
            </w:r>
          </w:p>
          <w:p w14:paraId="795592EE" w14:textId="2EAD5834" w:rsidR="00E94AC3" w:rsidRPr="00716FB9" w:rsidRDefault="00E94AC3" w:rsidP="0019754C">
            <w:pPr>
              <w:numPr>
                <w:ilvl w:val="1"/>
                <w:numId w:val="30"/>
              </w:numPr>
              <w:spacing w:after="120" w:line="276" w:lineRule="auto"/>
              <w:contextualSpacing/>
              <w:rPr>
                <w:rFonts w:eastAsia="Corbel"/>
                <w:sz w:val="20"/>
                <w:lang w:val="en-AU"/>
              </w:rPr>
            </w:pPr>
            <w:r w:rsidRPr="00716FB9">
              <w:rPr>
                <w:sz w:val="20"/>
                <w:lang w:val="en-AU"/>
              </w:rPr>
              <w:t>National NGOs have greater influence with respect to INGO</w:t>
            </w:r>
            <w:r w:rsidR="005523D1" w:rsidRPr="00716FB9">
              <w:rPr>
                <w:sz w:val="20"/>
                <w:lang w:val="en-AU"/>
              </w:rPr>
              <w:t xml:space="preserve"> headquarters</w:t>
            </w:r>
            <w:r w:rsidRPr="00716FB9">
              <w:rPr>
                <w:sz w:val="20"/>
                <w:lang w:val="en-AU"/>
              </w:rPr>
              <w:t xml:space="preserve"> and the country humanitarian system</w:t>
            </w:r>
          </w:p>
        </w:tc>
      </w:tr>
    </w:tbl>
    <w:p w14:paraId="2A6E1A00" w14:textId="0012F282" w:rsidR="00E94AC3" w:rsidRPr="00C22807" w:rsidRDefault="00686A69" w:rsidP="00E94AC3">
      <w:pPr>
        <w:spacing w:after="120" w:line="276" w:lineRule="auto"/>
        <w:rPr>
          <w:lang w:val="en-AU"/>
        </w:rPr>
      </w:pPr>
      <w:r>
        <w:rPr>
          <w:b/>
          <w:lang w:val="en-AU"/>
        </w:rPr>
        <w:br/>
      </w:r>
      <w:r w:rsidR="00E94AC3" w:rsidRPr="00716FB9">
        <w:rPr>
          <w:b/>
          <w:lang w:val="en-AU"/>
        </w:rPr>
        <w:t xml:space="preserve">Objective 5: AHP NGOs work effectively together and with other relevant stakeholders </w:t>
      </w:r>
      <w:r>
        <w:rPr>
          <w:lang w:val="en-AU"/>
        </w:rPr>
        <w:br/>
      </w:r>
      <w:r w:rsidR="00E94AC3" w:rsidRPr="00716FB9">
        <w:rPr>
          <w:lang w:val="en-AU"/>
        </w:rPr>
        <w:t xml:space="preserve">Close coordination is expected between AHP NGOs and other stakeholders at country level to build relationships, </w:t>
      </w:r>
      <w:r w:rsidR="00622926" w:rsidRPr="00716FB9">
        <w:rPr>
          <w:lang w:val="en-AU"/>
        </w:rPr>
        <w:t xml:space="preserve">to </w:t>
      </w:r>
      <w:r w:rsidR="00E94AC3" w:rsidRPr="00716FB9">
        <w:rPr>
          <w:lang w:val="en-AU"/>
        </w:rPr>
        <w:t>develop consistent approaches to community preparedness</w:t>
      </w:r>
      <w:r w:rsidR="00622926" w:rsidRPr="00716FB9">
        <w:rPr>
          <w:lang w:val="en-AU"/>
        </w:rPr>
        <w:t>,</w:t>
      </w:r>
      <w:r w:rsidR="00E94AC3" w:rsidRPr="00716FB9">
        <w:rPr>
          <w:lang w:val="en-AU"/>
        </w:rPr>
        <w:t xml:space="preserve"> and to learn from each other’s strengths and experiences. This coordination is essential to meet the ambition that Disaster READY go beyond a series of small but worthy NGO DRR activities to affect more systemic change in </w:t>
      </w:r>
      <w:r w:rsidR="00E94AC3" w:rsidRPr="00716FB9">
        <w:rPr>
          <w:lang w:val="en-AU"/>
        </w:rPr>
        <w:lastRenderedPageBreak/>
        <w:t>focus countries. The objective also sets the ambition that AHP NGOs take good practice from humanitarian work into their development programming.</w:t>
      </w:r>
      <w:r w:rsidR="00394C86" w:rsidRPr="00394C86">
        <w:rPr>
          <w:lang w:val="en-AU"/>
        </w:rPr>
        <w:br/>
      </w:r>
      <w:r w:rsidR="00394C86" w:rsidRPr="00394C86">
        <w:rPr>
          <w:lang w:val="en-AU"/>
        </w:rPr>
        <w:br/>
      </w:r>
      <w:r w:rsidR="00E94AC3" w:rsidRPr="00C22807">
        <w:rPr>
          <w:lang w:val="en-AU"/>
        </w:rPr>
        <w:t>The outcomes sought through this objective are outlined below:</w:t>
      </w:r>
    </w:p>
    <w:tbl>
      <w:tblPr>
        <w:tblStyle w:val="TableGrid1"/>
        <w:tblW w:w="0" w:type="auto"/>
        <w:tblLook w:val="04A0" w:firstRow="1" w:lastRow="0" w:firstColumn="1" w:lastColumn="0" w:noHBand="0" w:noVBand="1"/>
      </w:tblPr>
      <w:tblGrid>
        <w:gridCol w:w="2263"/>
        <w:gridCol w:w="6379"/>
      </w:tblGrid>
      <w:tr w:rsidR="00A048D6" w:rsidRPr="00A048D6" w14:paraId="79117445" w14:textId="77777777" w:rsidTr="00A048D6">
        <w:trPr>
          <w:trHeight w:val="381"/>
        </w:trPr>
        <w:tc>
          <w:tcPr>
            <w:tcW w:w="2263" w:type="dxa"/>
            <w:shd w:val="clear" w:color="auto" w:fill="0673A5" w:themeFill="text2" w:themeFillShade="BF"/>
          </w:tcPr>
          <w:p w14:paraId="5CE848B1" w14:textId="77777777" w:rsidR="00E94AC3" w:rsidRPr="00C22807" w:rsidRDefault="00E94AC3" w:rsidP="0019754C">
            <w:pPr>
              <w:spacing w:after="120" w:line="276" w:lineRule="auto"/>
              <w:contextualSpacing/>
              <w:rPr>
                <w:rFonts w:eastAsia="Corbel"/>
                <w:b/>
                <w:color w:val="FFFFFF" w:themeColor="background1"/>
                <w:lang w:val="en-AU"/>
              </w:rPr>
            </w:pPr>
            <w:r w:rsidRPr="00C22807">
              <w:rPr>
                <w:rFonts w:eastAsia="Corbel"/>
                <w:b/>
                <w:color w:val="FFFFFF" w:themeColor="background1"/>
                <w:lang w:val="en-AU"/>
              </w:rPr>
              <w:t>Objective</w:t>
            </w:r>
          </w:p>
        </w:tc>
        <w:tc>
          <w:tcPr>
            <w:tcW w:w="6379" w:type="dxa"/>
            <w:shd w:val="clear" w:color="auto" w:fill="0673A5" w:themeFill="text2" w:themeFillShade="BF"/>
          </w:tcPr>
          <w:p w14:paraId="56398E35" w14:textId="77777777" w:rsidR="00E94AC3" w:rsidRPr="00C22807" w:rsidRDefault="00E94AC3" w:rsidP="0019754C">
            <w:pPr>
              <w:spacing w:after="120" w:line="276" w:lineRule="auto"/>
              <w:contextualSpacing/>
              <w:rPr>
                <w:rFonts w:eastAsia="Corbel"/>
                <w:b/>
                <w:color w:val="FFFFFF" w:themeColor="background1"/>
                <w:lang w:val="en-AU"/>
              </w:rPr>
            </w:pPr>
            <w:r w:rsidRPr="00C22807">
              <w:rPr>
                <w:rFonts w:eastAsia="Corbel"/>
                <w:b/>
                <w:color w:val="FFFFFF" w:themeColor="background1"/>
                <w:lang w:val="en-AU"/>
              </w:rPr>
              <w:t>Outcomes</w:t>
            </w:r>
          </w:p>
        </w:tc>
      </w:tr>
      <w:tr w:rsidR="00E94AC3" w:rsidRPr="00656F60" w14:paraId="50E2D9DE" w14:textId="77777777" w:rsidTr="0019754C">
        <w:trPr>
          <w:trHeight w:val="2400"/>
        </w:trPr>
        <w:tc>
          <w:tcPr>
            <w:tcW w:w="2263" w:type="dxa"/>
            <w:shd w:val="clear" w:color="auto" w:fill="C9ECFC" w:themeFill="text2" w:themeFillTint="33"/>
          </w:tcPr>
          <w:p w14:paraId="2DA68649" w14:textId="5772B4D6" w:rsidR="00E94AC3" w:rsidRPr="0060166F" w:rsidRDefault="00E94AC3" w:rsidP="0019754C">
            <w:pPr>
              <w:numPr>
                <w:ilvl w:val="0"/>
                <w:numId w:val="30"/>
              </w:numPr>
              <w:spacing w:after="120" w:line="276" w:lineRule="auto"/>
              <w:contextualSpacing/>
              <w:rPr>
                <w:sz w:val="20"/>
                <w:lang w:val="en-AU"/>
              </w:rPr>
            </w:pPr>
            <w:r w:rsidRPr="0060166F">
              <w:rPr>
                <w:sz w:val="20"/>
                <w:lang w:val="en-AU"/>
              </w:rPr>
              <w:t>AHP NGOs work effectively together and with other relevant stakeholders</w:t>
            </w:r>
          </w:p>
        </w:tc>
        <w:tc>
          <w:tcPr>
            <w:tcW w:w="6379" w:type="dxa"/>
            <w:shd w:val="clear" w:color="auto" w:fill="C9ECFC" w:themeFill="text2" w:themeFillTint="33"/>
          </w:tcPr>
          <w:p w14:paraId="42C2A2EB" w14:textId="3FE361A6" w:rsidR="00DE2A0F" w:rsidRDefault="00DE2A0F" w:rsidP="00DE2A0F">
            <w:pPr>
              <w:numPr>
                <w:ilvl w:val="1"/>
                <w:numId w:val="30"/>
              </w:numPr>
              <w:spacing w:after="120" w:line="276" w:lineRule="auto"/>
              <w:contextualSpacing/>
              <w:rPr>
                <w:sz w:val="20"/>
                <w:lang w:val="en-AU"/>
              </w:rPr>
            </w:pPr>
            <w:r w:rsidRPr="00DE2A0F">
              <w:rPr>
                <w:sz w:val="20"/>
                <w:lang w:val="en-AU"/>
              </w:rPr>
              <w:t xml:space="preserve">AHP NGOs are well coordinated and engaging with government, Red Cross, women’s and other NGOs, and donors </w:t>
            </w:r>
          </w:p>
          <w:p w14:paraId="3A7CD4B8" w14:textId="5CEB1CF4" w:rsidR="00E94AC3" w:rsidRPr="0060166F" w:rsidRDefault="00E94AC3" w:rsidP="00DE2A0F">
            <w:pPr>
              <w:numPr>
                <w:ilvl w:val="1"/>
                <w:numId w:val="30"/>
              </w:numPr>
              <w:spacing w:after="120" w:line="276" w:lineRule="auto"/>
              <w:contextualSpacing/>
              <w:rPr>
                <w:sz w:val="20"/>
                <w:lang w:val="en-AU"/>
              </w:rPr>
            </w:pPr>
            <w:r w:rsidRPr="0060166F">
              <w:rPr>
                <w:sz w:val="20"/>
                <w:lang w:val="en-AU"/>
              </w:rPr>
              <w:t xml:space="preserve">AHP NGOs are using </w:t>
            </w:r>
            <w:r w:rsidR="00BF1A40" w:rsidRPr="0060166F">
              <w:rPr>
                <w:sz w:val="20"/>
                <w:lang w:val="en-AU"/>
              </w:rPr>
              <w:t>shared services</w:t>
            </w:r>
            <w:r w:rsidRPr="0060166F">
              <w:rPr>
                <w:sz w:val="20"/>
                <w:lang w:val="en-AU"/>
              </w:rPr>
              <w:t xml:space="preserve"> to champion inclusive approaches and demonstrate and share impact</w:t>
            </w:r>
          </w:p>
          <w:p w14:paraId="61F96D89" w14:textId="77777777" w:rsidR="00E94AC3" w:rsidRPr="0060166F" w:rsidRDefault="00E94AC3" w:rsidP="0019754C">
            <w:pPr>
              <w:numPr>
                <w:ilvl w:val="1"/>
                <w:numId w:val="30"/>
              </w:numPr>
              <w:spacing w:after="120" w:line="276" w:lineRule="auto"/>
              <w:contextualSpacing/>
              <w:rPr>
                <w:sz w:val="20"/>
                <w:lang w:val="en-AU"/>
              </w:rPr>
            </w:pPr>
            <w:r w:rsidRPr="0060166F">
              <w:rPr>
                <w:sz w:val="20"/>
                <w:lang w:val="en-AU"/>
              </w:rPr>
              <w:t>AHP NGOs are using good practices from humanitarian programs to mainstream disaster preparedness and risk reduction into other work</w:t>
            </w:r>
          </w:p>
          <w:p w14:paraId="38EC00AE" w14:textId="77777777" w:rsidR="00E94AC3" w:rsidRPr="0060166F" w:rsidRDefault="00E94AC3" w:rsidP="0019754C">
            <w:pPr>
              <w:spacing w:after="120" w:line="276" w:lineRule="auto"/>
              <w:contextualSpacing/>
              <w:rPr>
                <w:sz w:val="20"/>
                <w:lang w:val="en-AU"/>
              </w:rPr>
            </w:pPr>
          </w:p>
        </w:tc>
      </w:tr>
    </w:tbl>
    <w:p w14:paraId="723F69BE" w14:textId="6DD8F695" w:rsidR="00AB0FEA" w:rsidRPr="00394C86" w:rsidRDefault="00E94AC3" w:rsidP="00657E60">
      <w:pPr>
        <w:spacing w:after="120" w:line="276" w:lineRule="auto"/>
        <w:rPr>
          <w:lang w:val="en-AU"/>
        </w:rPr>
      </w:pPr>
      <w:r w:rsidRPr="00C22807">
        <w:rPr>
          <w:lang w:val="en-AU"/>
        </w:rPr>
        <w:t>See also Annex 1 Objective</w:t>
      </w:r>
      <w:r w:rsidR="00797A9B">
        <w:rPr>
          <w:lang w:val="en-AU"/>
        </w:rPr>
        <w:t xml:space="preserve">, </w:t>
      </w:r>
      <w:r w:rsidR="00232B26" w:rsidRPr="00C22807">
        <w:rPr>
          <w:lang w:val="en-AU"/>
        </w:rPr>
        <w:t>O</w:t>
      </w:r>
      <w:r w:rsidRPr="00C22807">
        <w:rPr>
          <w:lang w:val="en-AU"/>
        </w:rPr>
        <w:t>utcome</w:t>
      </w:r>
      <w:r w:rsidR="00797A9B">
        <w:rPr>
          <w:lang w:val="en-AU"/>
        </w:rPr>
        <w:t xml:space="preserve">, </w:t>
      </w:r>
      <w:r w:rsidR="00232B26" w:rsidRPr="00C22807">
        <w:rPr>
          <w:lang w:val="en-AU"/>
        </w:rPr>
        <w:t>I</w:t>
      </w:r>
      <w:r w:rsidRPr="00C22807">
        <w:rPr>
          <w:lang w:val="en-AU"/>
        </w:rPr>
        <w:t xml:space="preserve">ndicators </w:t>
      </w:r>
      <w:r w:rsidR="00232B26" w:rsidRPr="00C22807">
        <w:rPr>
          <w:lang w:val="en-AU"/>
        </w:rPr>
        <w:t>T</w:t>
      </w:r>
      <w:r w:rsidRPr="00C22807">
        <w:rPr>
          <w:lang w:val="en-AU"/>
        </w:rPr>
        <w:t>able; and Annex 6 Summary of Activities in each country</w:t>
      </w:r>
      <w:r w:rsidR="00797A9B">
        <w:rPr>
          <w:lang w:val="en-AU"/>
        </w:rPr>
        <w:t>.</w:t>
      </w:r>
      <w:r w:rsidR="00FB33AB" w:rsidRPr="00C22807">
        <w:rPr>
          <w:lang w:val="en-AU"/>
        </w:rPr>
        <w:t xml:space="preserve"> </w:t>
      </w:r>
      <w:r w:rsidR="00657E60" w:rsidRPr="00394C86">
        <w:rPr>
          <w:color w:val="3C3C3C" w:themeColor="background2" w:themeShade="40"/>
          <w:lang w:val="en-AU"/>
        </w:rPr>
        <w:br/>
      </w:r>
    </w:p>
    <w:p w14:paraId="0632AB42" w14:textId="46EDE98A" w:rsidR="00510EF3" w:rsidRPr="00394C86" w:rsidRDefault="00510EF3" w:rsidP="00F01A78">
      <w:pPr>
        <w:pStyle w:val="Heading2"/>
        <w:rPr>
          <w:rFonts w:ascii="Calibri" w:hAnsi="Calibri" w:cs="Calibri"/>
          <w:lang w:val="en-AU"/>
        </w:rPr>
      </w:pPr>
      <w:bookmarkStart w:id="25" w:name="_Toc501451670"/>
      <w:r w:rsidRPr="00394C86">
        <w:rPr>
          <w:rFonts w:ascii="Calibri" w:hAnsi="Calibri" w:cs="Calibri"/>
          <w:lang w:val="en-AU"/>
        </w:rPr>
        <w:t xml:space="preserve">Delivery Mechanisms and </w:t>
      </w:r>
      <w:r w:rsidR="00B9309E" w:rsidRPr="00394C86">
        <w:rPr>
          <w:rFonts w:ascii="Calibri" w:hAnsi="Calibri" w:cs="Calibri"/>
          <w:lang w:val="en-AU"/>
        </w:rPr>
        <w:t>R</w:t>
      </w:r>
      <w:r w:rsidRPr="00394C86">
        <w:rPr>
          <w:rFonts w:ascii="Calibri" w:hAnsi="Calibri" w:cs="Calibri"/>
          <w:lang w:val="en-AU"/>
        </w:rPr>
        <w:t>esources</w:t>
      </w:r>
      <w:bookmarkEnd w:id="25"/>
    </w:p>
    <w:p w14:paraId="60E0C1C4" w14:textId="77777777" w:rsidR="00510EF3" w:rsidRPr="00394C86" w:rsidRDefault="00510EF3" w:rsidP="00110706">
      <w:pPr>
        <w:rPr>
          <w:lang w:val="en-AU"/>
        </w:rPr>
      </w:pPr>
      <w:r w:rsidRPr="00394C86">
        <w:rPr>
          <w:lang w:val="en-AU"/>
        </w:rPr>
        <w:t>AHP Disaster READY will be delivered through two mechanisms:</w:t>
      </w:r>
    </w:p>
    <w:p w14:paraId="29765E49" w14:textId="439F2647" w:rsidR="00510EF3" w:rsidRPr="00C22807" w:rsidRDefault="00510EF3" w:rsidP="006428F6">
      <w:pPr>
        <w:pStyle w:val="ListParagraph"/>
        <w:numPr>
          <w:ilvl w:val="0"/>
          <w:numId w:val="5"/>
        </w:numPr>
        <w:rPr>
          <w:b/>
        </w:rPr>
      </w:pPr>
      <w:r w:rsidRPr="00394C86">
        <w:rPr>
          <w:b/>
          <w:i/>
        </w:rPr>
        <w:t>Mechanism 1:</w:t>
      </w:r>
      <w:r w:rsidRPr="00394C86">
        <w:rPr>
          <w:b/>
        </w:rPr>
        <w:t xml:space="preserve"> </w:t>
      </w:r>
      <w:r w:rsidRPr="00394C86">
        <w:t xml:space="preserve">Multi-year funding in the five focus countries from January 2018 </w:t>
      </w:r>
      <w:r w:rsidR="006B66A4" w:rsidRPr="00C22807">
        <w:t>to</w:t>
      </w:r>
      <w:r w:rsidRPr="00394C86">
        <w:t xml:space="preserve"> June 2022. This includes direct funding to </w:t>
      </w:r>
      <w:r w:rsidR="00ED7A07" w:rsidRPr="00394C86">
        <w:t xml:space="preserve">six </w:t>
      </w:r>
      <w:r w:rsidRPr="00394C86">
        <w:t>A</w:t>
      </w:r>
      <w:r w:rsidR="003C330A" w:rsidRPr="00394C86">
        <w:t>HP NGO</w:t>
      </w:r>
      <w:r w:rsidRPr="00394C86">
        <w:t xml:space="preserve"> consortia of </w:t>
      </w:r>
      <w:r w:rsidR="009E39BA" w:rsidRPr="00394C86">
        <w:t>$</w:t>
      </w:r>
      <w:r w:rsidRPr="00394C86">
        <w:t>5m each (total of $30m over 4.5</w:t>
      </w:r>
      <w:r w:rsidR="009E39BA" w:rsidRPr="00394C86">
        <w:t xml:space="preserve"> </w:t>
      </w:r>
      <w:r w:rsidRPr="00394C86">
        <w:t xml:space="preserve">years) plus </w:t>
      </w:r>
      <w:r w:rsidR="006B66A4" w:rsidRPr="00C22807">
        <w:t>s</w:t>
      </w:r>
      <w:r w:rsidRPr="00C22807">
        <w:t xml:space="preserve">hared </w:t>
      </w:r>
      <w:r w:rsidR="006B66A4" w:rsidRPr="00C22807">
        <w:t>s</w:t>
      </w:r>
      <w:r w:rsidRPr="00C22807">
        <w:t>ervices funding of $2.4m (over 4.5</w:t>
      </w:r>
      <w:r w:rsidR="009E39BA" w:rsidRPr="00C22807">
        <w:t xml:space="preserve"> </w:t>
      </w:r>
      <w:r w:rsidRPr="00C22807">
        <w:t xml:space="preserve">years). </w:t>
      </w:r>
    </w:p>
    <w:p w14:paraId="3D0BE771" w14:textId="77777777" w:rsidR="00510EF3" w:rsidRPr="00C22807" w:rsidRDefault="00510EF3" w:rsidP="00110706">
      <w:pPr>
        <w:pStyle w:val="ListParagraph"/>
      </w:pPr>
    </w:p>
    <w:p w14:paraId="241B0B78" w14:textId="18C2B260" w:rsidR="00ED7A07" w:rsidRPr="00C22807" w:rsidRDefault="00510EF3" w:rsidP="006428F6">
      <w:pPr>
        <w:pStyle w:val="ListParagraph"/>
        <w:numPr>
          <w:ilvl w:val="0"/>
          <w:numId w:val="5"/>
        </w:numPr>
      </w:pPr>
      <w:r w:rsidRPr="00C22807">
        <w:rPr>
          <w:b/>
          <w:i/>
        </w:rPr>
        <w:t>Mechanism 2:</w:t>
      </w:r>
      <w:r w:rsidRPr="00C22807">
        <w:t xml:space="preserve"> Performance and Partnerships Fund (PPF) of </w:t>
      </w:r>
      <w:r w:rsidR="00DC1E54" w:rsidRPr="00C22807">
        <w:t>$</w:t>
      </w:r>
      <w:r w:rsidR="004E63C7" w:rsidRPr="00C22807">
        <w:t>8.</w:t>
      </w:r>
      <w:r w:rsidR="00235410" w:rsidRPr="00C22807">
        <w:t>5m</w:t>
      </w:r>
      <w:r w:rsidR="00232B26" w:rsidRPr="00C22807">
        <w:t xml:space="preserve"> This fund will be accessed via </w:t>
      </w:r>
      <w:r w:rsidRPr="00C22807">
        <w:t xml:space="preserve">competitive grants </w:t>
      </w:r>
      <w:r w:rsidR="00351A03" w:rsidRPr="00C22807">
        <w:t xml:space="preserve">open to </w:t>
      </w:r>
      <w:r w:rsidR="009E39BA" w:rsidRPr="00C22807">
        <w:t xml:space="preserve">the </w:t>
      </w:r>
      <w:r w:rsidR="00351A03" w:rsidRPr="00C22807">
        <w:t xml:space="preserve">AHP consortia </w:t>
      </w:r>
      <w:r w:rsidRPr="00C22807">
        <w:t>to scale up successful</w:t>
      </w:r>
      <w:r w:rsidR="00351A03" w:rsidRPr="00C22807">
        <w:t>, collaborative</w:t>
      </w:r>
      <w:r w:rsidRPr="00C22807">
        <w:t xml:space="preserve"> approaches to </w:t>
      </w:r>
      <w:r w:rsidR="00351A03" w:rsidRPr="00C22807">
        <w:t xml:space="preserve">community </w:t>
      </w:r>
      <w:r w:rsidRPr="00C22807">
        <w:t>disaster preparedness</w:t>
      </w:r>
      <w:r w:rsidR="00351A03" w:rsidRPr="00C22807">
        <w:t xml:space="preserve"> in the Pacific and Timor</w:t>
      </w:r>
      <w:r w:rsidR="009E39BA" w:rsidRPr="00C22807">
        <w:t>-</w:t>
      </w:r>
      <w:r w:rsidR="00351A03" w:rsidRPr="00C22807">
        <w:t>Leste</w:t>
      </w:r>
      <w:r w:rsidRPr="00C22807">
        <w:t xml:space="preserve">. </w:t>
      </w:r>
      <w:r w:rsidR="00162D7E" w:rsidRPr="00C22807">
        <w:t>T</w:t>
      </w:r>
      <w:r w:rsidRPr="00C22807">
        <w:t>wo rounds of competitive grants will be opened in 2019 and 2020.</w:t>
      </w:r>
    </w:p>
    <w:p w14:paraId="033FC75E" w14:textId="3CA08233" w:rsidR="00E32C1B" w:rsidRPr="00C22807" w:rsidRDefault="00E32C1B" w:rsidP="00E32C1B">
      <w:pPr>
        <w:rPr>
          <w:lang w:val="en-AU"/>
        </w:rPr>
      </w:pPr>
      <w:r w:rsidRPr="00C22807">
        <w:rPr>
          <w:lang w:val="en-AU"/>
        </w:rPr>
        <w:t>A program budget with Mechanism</w:t>
      </w:r>
      <w:r w:rsidR="00232B26" w:rsidRPr="00C22807">
        <w:rPr>
          <w:lang w:val="en-AU"/>
        </w:rPr>
        <w:t>s</w:t>
      </w:r>
      <w:r w:rsidRPr="00C22807">
        <w:rPr>
          <w:lang w:val="en-AU"/>
        </w:rPr>
        <w:t xml:space="preserve"> 1</w:t>
      </w:r>
      <w:r w:rsidR="00232B26" w:rsidRPr="00C22807">
        <w:rPr>
          <w:lang w:val="en-AU"/>
        </w:rPr>
        <w:t xml:space="preserve"> and</w:t>
      </w:r>
      <w:r w:rsidRPr="00C22807">
        <w:rPr>
          <w:lang w:val="en-AU"/>
        </w:rPr>
        <w:t xml:space="preserve"> 2 and </w:t>
      </w:r>
      <w:r w:rsidR="004959E2" w:rsidRPr="00C22807">
        <w:rPr>
          <w:lang w:val="en-AU"/>
        </w:rPr>
        <w:t>m</w:t>
      </w:r>
      <w:r w:rsidRPr="00C22807">
        <w:rPr>
          <w:lang w:val="en-AU"/>
        </w:rPr>
        <w:t xml:space="preserve">anagement costs is at Annex </w:t>
      </w:r>
      <w:r w:rsidR="00280AA3" w:rsidRPr="00C22807">
        <w:rPr>
          <w:lang w:val="en-AU"/>
        </w:rPr>
        <w:t>7</w:t>
      </w:r>
      <w:r w:rsidR="00AE7822" w:rsidRPr="00C22807">
        <w:rPr>
          <w:lang w:val="en-AU"/>
        </w:rPr>
        <w:t xml:space="preserve">.  A </w:t>
      </w:r>
      <w:r w:rsidR="004959E2" w:rsidRPr="00C22807">
        <w:rPr>
          <w:lang w:val="en-AU"/>
        </w:rPr>
        <w:t>p</w:t>
      </w:r>
      <w:r w:rsidR="00AE7822" w:rsidRPr="00C22807">
        <w:rPr>
          <w:lang w:val="en-AU"/>
        </w:rPr>
        <w:t xml:space="preserve">rogram </w:t>
      </w:r>
      <w:r w:rsidR="004959E2" w:rsidRPr="00C22807">
        <w:rPr>
          <w:lang w:val="en-AU"/>
        </w:rPr>
        <w:t>t</w:t>
      </w:r>
      <w:r w:rsidR="00AE7822" w:rsidRPr="00C22807">
        <w:rPr>
          <w:lang w:val="en-AU"/>
        </w:rPr>
        <w:t>imeline is at Annex 8.</w:t>
      </w:r>
    </w:p>
    <w:p w14:paraId="1D7C00EA" w14:textId="03886F1B" w:rsidR="00687246" w:rsidRPr="00C22807" w:rsidRDefault="00687246" w:rsidP="00E32C1B">
      <w:pPr>
        <w:pStyle w:val="Heading7"/>
        <w:rPr>
          <w:rFonts w:ascii="Calibri" w:hAnsi="Calibri" w:cs="Calibri"/>
          <w:color w:val="auto"/>
          <w:lang w:val="en-AU"/>
        </w:rPr>
      </w:pPr>
      <w:r w:rsidRPr="00C22807">
        <w:rPr>
          <w:rFonts w:ascii="Calibri" w:hAnsi="Calibri" w:cs="Calibri"/>
          <w:color w:val="auto"/>
          <w:lang w:val="en-AU"/>
        </w:rPr>
        <w:t xml:space="preserve">Mechanism 1 </w:t>
      </w:r>
      <w:r w:rsidR="00510EF3" w:rsidRPr="00C22807">
        <w:rPr>
          <w:rFonts w:ascii="Calibri" w:hAnsi="Calibri" w:cs="Calibri"/>
          <w:color w:val="auto"/>
          <w:lang w:val="en-AU"/>
        </w:rPr>
        <w:t xml:space="preserve">Multi-year AHP NGO funds </w:t>
      </w:r>
    </w:p>
    <w:p w14:paraId="5F3F5644" w14:textId="10658F92" w:rsidR="003C330A" w:rsidRPr="00394C86" w:rsidRDefault="00687246" w:rsidP="00110706">
      <w:pPr>
        <w:rPr>
          <w:b/>
          <w:lang w:val="en-AU"/>
        </w:rPr>
      </w:pPr>
      <w:r w:rsidRPr="00394C86">
        <w:rPr>
          <w:lang w:val="en-AU"/>
        </w:rPr>
        <w:t>M</w:t>
      </w:r>
      <w:r w:rsidR="00510EF3" w:rsidRPr="00394C86">
        <w:rPr>
          <w:lang w:val="en-AU"/>
        </w:rPr>
        <w:t>ulti-year funding ($5m per AHP NGO</w:t>
      </w:r>
      <w:r w:rsidR="00ED7A07" w:rsidRPr="00394C86">
        <w:rPr>
          <w:lang w:val="en-AU"/>
        </w:rPr>
        <w:t xml:space="preserve"> consorti</w:t>
      </w:r>
      <w:r w:rsidR="00A45EEA" w:rsidRPr="00394C86">
        <w:rPr>
          <w:lang w:val="en-AU"/>
        </w:rPr>
        <w:t>um</w:t>
      </w:r>
      <w:r w:rsidR="00510EF3" w:rsidRPr="00394C86">
        <w:rPr>
          <w:lang w:val="en-AU"/>
        </w:rPr>
        <w:t xml:space="preserve">, $30m total) is expected to be spread across </w:t>
      </w:r>
      <w:r w:rsidR="00F91E9F" w:rsidRPr="00394C86">
        <w:rPr>
          <w:lang w:val="en-AU"/>
        </w:rPr>
        <w:t>four</w:t>
      </w:r>
      <w:r w:rsidR="00A45EEA" w:rsidRPr="00394C86">
        <w:rPr>
          <w:lang w:val="en-AU"/>
        </w:rPr>
        <w:t xml:space="preserve"> </w:t>
      </w:r>
      <w:r w:rsidR="00F91E9F" w:rsidRPr="00394C86">
        <w:rPr>
          <w:lang w:val="en-AU"/>
        </w:rPr>
        <w:t>and</w:t>
      </w:r>
      <w:r w:rsidR="00A45EEA" w:rsidRPr="00394C86">
        <w:rPr>
          <w:lang w:val="en-AU"/>
        </w:rPr>
        <w:t xml:space="preserve"> </w:t>
      </w:r>
      <w:r w:rsidR="00F91E9F" w:rsidRPr="00394C86">
        <w:rPr>
          <w:lang w:val="en-AU"/>
        </w:rPr>
        <w:t>a</w:t>
      </w:r>
      <w:r w:rsidR="00A45EEA" w:rsidRPr="00394C86">
        <w:rPr>
          <w:lang w:val="en-AU"/>
        </w:rPr>
        <w:t xml:space="preserve"> </w:t>
      </w:r>
      <w:r w:rsidR="00F91E9F" w:rsidRPr="00394C86">
        <w:rPr>
          <w:lang w:val="en-AU"/>
        </w:rPr>
        <w:t>half</w:t>
      </w:r>
      <w:r w:rsidR="00ED7A07" w:rsidRPr="00394C86">
        <w:rPr>
          <w:lang w:val="en-AU"/>
        </w:rPr>
        <w:t xml:space="preserve"> years. A</w:t>
      </w:r>
      <w:r w:rsidR="001D5397" w:rsidRPr="00394C86">
        <w:rPr>
          <w:lang w:val="en-AU"/>
        </w:rPr>
        <w:t>nnual allocations will</w:t>
      </w:r>
      <w:r w:rsidR="00510EF3" w:rsidRPr="00394C86">
        <w:rPr>
          <w:lang w:val="en-AU"/>
        </w:rPr>
        <w:t xml:space="preserve"> be determined each year by the AHP </w:t>
      </w:r>
      <w:r w:rsidR="001D5397" w:rsidRPr="00394C86">
        <w:rPr>
          <w:lang w:val="en-AU"/>
        </w:rPr>
        <w:t>leads/consortia</w:t>
      </w:r>
      <w:r w:rsidR="00510EF3" w:rsidRPr="00394C86">
        <w:rPr>
          <w:lang w:val="en-AU"/>
        </w:rPr>
        <w:t xml:space="preserve">, in consultation with DFAT. </w:t>
      </w:r>
      <w:r w:rsidR="001876E6" w:rsidRPr="00394C86">
        <w:rPr>
          <w:lang w:val="en-AU"/>
        </w:rPr>
        <w:t xml:space="preserve">AHP consortia were </w:t>
      </w:r>
      <w:r w:rsidR="004959E2" w:rsidRPr="00394C86">
        <w:rPr>
          <w:lang w:val="en-AU"/>
        </w:rPr>
        <w:t>required</w:t>
      </w:r>
      <w:r w:rsidR="001876E6" w:rsidRPr="00394C86">
        <w:rPr>
          <w:lang w:val="en-AU"/>
        </w:rPr>
        <w:t xml:space="preserve"> to</w:t>
      </w:r>
      <w:r w:rsidR="00ED7A07" w:rsidRPr="00394C86">
        <w:rPr>
          <w:lang w:val="en-AU"/>
        </w:rPr>
        <w:t xml:space="preserve"> develop </w:t>
      </w:r>
      <w:r w:rsidR="00FB33AB" w:rsidRPr="00C22807">
        <w:rPr>
          <w:lang w:val="en-AU"/>
        </w:rPr>
        <w:t>activity plans</w:t>
      </w:r>
      <w:r w:rsidR="00ED7A07" w:rsidRPr="00C22807">
        <w:rPr>
          <w:lang w:val="en-AU"/>
        </w:rPr>
        <w:t xml:space="preserve"> that</w:t>
      </w:r>
      <w:r w:rsidR="001876E6" w:rsidRPr="00C22807">
        <w:rPr>
          <w:lang w:val="en-AU"/>
        </w:rPr>
        <w:t xml:space="preserve"> build on existing relationships, target resources to achieve impact and maximise coordination at country level</w:t>
      </w:r>
      <w:r w:rsidR="00505466" w:rsidRPr="00C22807">
        <w:rPr>
          <w:lang w:val="en-AU"/>
        </w:rPr>
        <w:t>,</w:t>
      </w:r>
      <w:r w:rsidR="005C2A34" w:rsidRPr="00C22807">
        <w:rPr>
          <w:lang w:val="en-AU"/>
        </w:rPr>
        <w:t xml:space="preserve"> as</w:t>
      </w:r>
      <w:r w:rsidR="00505466" w:rsidRPr="00C22807">
        <w:rPr>
          <w:lang w:val="en-AU"/>
        </w:rPr>
        <w:t xml:space="preserve"> articulated </w:t>
      </w:r>
      <w:r w:rsidR="005C2A34" w:rsidRPr="00C22807">
        <w:rPr>
          <w:lang w:val="en-AU"/>
        </w:rPr>
        <w:t>in c</w:t>
      </w:r>
      <w:r w:rsidR="00505466" w:rsidRPr="00C22807">
        <w:rPr>
          <w:lang w:val="en-AU"/>
        </w:rPr>
        <w:t xml:space="preserve">ountry </w:t>
      </w:r>
      <w:r w:rsidR="005C2A34" w:rsidRPr="00C22807">
        <w:rPr>
          <w:lang w:val="en-AU"/>
        </w:rPr>
        <w:t>p</w:t>
      </w:r>
      <w:r w:rsidR="00505466" w:rsidRPr="00C22807">
        <w:rPr>
          <w:lang w:val="en-AU"/>
        </w:rPr>
        <w:t xml:space="preserve">lans </w:t>
      </w:r>
      <w:r w:rsidR="00ED7A07" w:rsidRPr="00C22807">
        <w:rPr>
          <w:lang w:val="en-AU"/>
        </w:rPr>
        <w:t xml:space="preserve">(see Annex </w:t>
      </w:r>
      <w:r w:rsidR="00280AA3" w:rsidRPr="00C22807">
        <w:rPr>
          <w:lang w:val="en-AU"/>
        </w:rPr>
        <w:t>3</w:t>
      </w:r>
      <w:r w:rsidR="00ED7A07" w:rsidRPr="00C22807">
        <w:rPr>
          <w:lang w:val="en-AU"/>
        </w:rPr>
        <w:t xml:space="preserve"> Design Guidelines)</w:t>
      </w:r>
      <w:r w:rsidR="001876E6" w:rsidRPr="00C22807">
        <w:rPr>
          <w:lang w:val="en-AU"/>
        </w:rPr>
        <w:t xml:space="preserve">. </w:t>
      </w:r>
      <w:r w:rsidR="001D5397" w:rsidRPr="00C22807">
        <w:rPr>
          <w:lang w:val="en-AU"/>
        </w:rPr>
        <w:t>Through the design process</w:t>
      </w:r>
      <w:r w:rsidR="00063758" w:rsidRPr="00C22807">
        <w:rPr>
          <w:lang w:val="en-AU"/>
        </w:rPr>
        <w:t>,</w:t>
      </w:r>
      <w:r w:rsidR="001D5397" w:rsidRPr="00C22807">
        <w:rPr>
          <w:lang w:val="en-AU"/>
        </w:rPr>
        <w:t xml:space="preserve"> AHP consortia decided which countries they would work in and which consortia and local partners they would work with (see Annex </w:t>
      </w:r>
      <w:r w:rsidR="00280AA3" w:rsidRPr="00C22807">
        <w:rPr>
          <w:lang w:val="en-AU"/>
        </w:rPr>
        <w:t>2</w:t>
      </w:r>
      <w:r w:rsidR="001D5397" w:rsidRPr="00C22807">
        <w:rPr>
          <w:lang w:val="en-AU"/>
        </w:rPr>
        <w:t xml:space="preserve"> for details). </w:t>
      </w:r>
      <w:r w:rsidR="00510EF3" w:rsidRPr="00C22807">
        <w:rPr>
          <w:lang w:val="en-AU"/>
        </w:rPr>
        <w:t>There is an overall funding limit of $5m to PNG to ensure resources are not too heavily weighted to this larger country. There is also a limit of 10</w:t>
      </w:r>
      <w:r w:rsidR="00E04824" w:rsidRPr="00C22807">
        <w:rPr>
          <w:lang w:val="en-AU"/>
        </w:rPr>
        <w:t xml:space="preserve"> </w:t>
      </w:r>
      <w:r w:rsidR="00524F9E" w:rsidRPr="00C22807">
        <w:rPr>
          <w:lang w:val="en-AU"/>
        </w:rPr>
        <w:t>per cent</w:t>
      </w:r>
      <w:r w:rsidR="00510EF3" w:rsidRPr="00C22807">
        <w:rPr>
          <w:lang w:val="en-AU"/>
        </w:rPr>
        <w:t xml:space="preserve"> for regional activitie</w:t>
      </w:r>
      <w:r w:rsidR="00063758" w:rsidRPr="00C22807">
        <w:rPr>
          <w:lang w:val="en-AU"/>
        </w:rPr>
        <w:t>s,</w:t>
      </w:r>
      <w:r w:rsidR="00510EF3" w:rsidRPr="00C22807">
        <w:rPr>
          <w:lang w:val="en-AU"/>
        </w:rPr>
        <w:t xml:space="preserve"> which are defined as activities which are delivered to countries or people from outside the five focus countries or </w:t>
      </w:r>
      <w:r w:rsidR="00ED7A07" w:rsidRPr="00C22807">
        <w:rPr>
          <w:lang w:val="en-AU"/>
        </w:rPr>
        <w:lastRenderedPageBreak/>
        <w:t xml:space="preserve">primarily </w:t>
      </w:r>
      <w:r w:rsidR="00510EF3" w:rsidRPr="00C22807">
        <w:rPr>
          <w:lang w:val="en-AU"/>
        </w:rPr>
        <w:t xml:space="preserve">engage with regional </w:t>
      </w:r>
      <w:r w:rsidR="001876E6" w:rsidRPr="00C22807">
        <w:rPr>
          <w:lang w:val="en-AU"/>
        </w:rPr>
        <w:t>institutions (such as the Pacific Disability Forum</w:t>
      </w:r>
      <w:r w:rsidR="00ED7A07" w:rsidRPr="00C22807">
        <w:rPr>
          <w:lang w:val="en-AU"/>
        </w:rPr>
        <w:t xml:space="preserve"> </w:t>
      </w:r>
      <w:r w:rsidR="00547014" w:rsidRPr="00C22807">
        <w:rPr>
          <w:lang w:val="en-AU"/>
        </w:rPr>
        <w:t xml:space="preserve">(PDF) </w:t>
      </w:r>
      <w:r w:rsidR="00ED7A07" w:rsidRPr="00C22807">
        <w:rPr>
          <w:lang w:val="en-AU"/>
        </w:rPr>
        <w:t>or the Pacific Shelter Cluster</w:t>
      </w:r>
      <w:r w:rsidR="001876E6" w:rsidRPr="00C22807">
        <w:rPr>
          <w:lang w:val="en-AU"/>
        </w:rPr>
        <w:t>)</w:t>
      </w:r>
      <w:r w:rsidR="00510EF3" w:rsidRPr="00C22807">
        <w:rPr>
          <w:lang w:val="en-AU"/>
        </w:rPr>
        <w:t xml:space="preserve">. Where AHP NGOs are developing regional policies, </w:t>
      </w:r>
      <w:r w:rsidR="00ED7A07" w:rsidRPr="00C22807">
        <w:rPr>
          <w:lang w:val="en-AU"/>
        </w:rPr>
        <w:t>standards or training</w:t>
      </w:r>
      <w:r w:rsidR="004959E2" w:rsidRPr="00C22807">
        <w:rPr>
          <w:lang w:val="en-AU"/>
        </w:rPr>
        <w:t>,</w:t>
      </w:r>
      <w:r w:rsidR="00ED7A07" w:rsidRPr="00C22807">
        <w:rPr>
          <w:lang w:val="en-AU"/>
        </w:rPr>
        <w:t xml:space="preserve"> their </w:t>
      </w:r>
      <w:r w:rsidR="00FB33AB" w:rsidRPr="00C22807">
        <w:rPr>
          <w:lang w:val="en-AU"/>
        </w:rPr>
        <w:t xml:space="preserve">activity plans </w:t>
      </w:r>
      <w:r w:rsidR="00510EF3" w:rsidRPr="00C22807">
        <w:rPr>
          <w:lang w:val="en-AU"/>
        </w:rPr>
        <w:t xml:space="preserve">show how these will be translated into practice in one or more of the five countries. </w:t>
      </w:r>
      <w:r w:rsidR="008431BF" w:rsidRPr="00C22807">
        <w:rPr>
          <w:lang w:val="en-AU"/>
        </w:rPr>
        <w:br/>
      </w:r>
      <w:r w:rsidR="008431BF" w:rsidRPr="00C22807">
        <w:rPr>
          <w:lang w:val="en-AU"/>
        </w:rPr>
        <w:br/>
      </w:r>
      <w:r w:rsidR="00510EF3" w:rsidRPr="00C22807">
        <w:rPr>
          <w:lang w:val="en-AU"/>
        </w:rPr>
        <w:t>Each AHP NGO consorti</w:t>
      </w:r>
      <w:r w:rsidR="00340A86" w:rsidRPr="00C22807">
        <w:rPr>
          <w:lang w:val="en-AU"/>
        </w:rPr>
        <w:t>um</w:t>
      </w:r>
      <w:r w:rsidR="00510EF3" w:rsidRPr="00C22807">
        <w:rPr>
          <w:lang w:val="en-AU"/>
        </w:rPr>
        <w:t xml:space="preserve"> has undertaken a participatory </w:t>
      </w:r>
      <w:r w:rsidR="004959E2" w:rsidRPr="00C22807">
        <w:rPr>
          <w:lang w:val="en-AU"/>
        </w:rPr>
        <w:t>d</w:t>
      </w:r>
      <w:r w:rsidR="00510EF3" w:rsidRPr="00C22807">
        <w:rPr>
          <w:lang w:val="en-AU"/>
        </w:rPr>
        <w:t xml:space="preserve">esign process in each country. </w:t>
      </w:r>
      <w:r w:rsidR="00FB33AB" w:rsidRPr="00C22807">
        <w:rPr>
          <w:lang w:val="en-AU"/>
        </w:rPr>
        <w:t xml:space="preserve">Activity </w:t>
      </w:r>
      <w:r w:rsidR="00063758" w:rsidRPr="00C22807">
        <w:rPr>
          <w:lang w:val="en-AU"/>
        </w:rPr>
        <w:t>p</w:t>
      </w:r>
      <w:r w:rsidR="00FB33AB" w:rsidRPr="00C22807">
        <w:rPr>
          <w:lang w:val="en-AU"/>
        </w:rPr>
        <w:t>lans</w:t>
      </w:r>
      <w:r w:rsidR="00063758" w:rsidRPr="00C22807">
        <w:rPr>
          <w:lang w:val="en-AU"/>
        </w:rPr>
        <w:t xml:space="preserve"> </w:t>
      </w:r>
      <w:r w:rsidR="00510EF3" w:rsidRPr="00C22807">
        <w:rPr>
          <w:lang w:val="en-AU"/>
        </w:rPr>
        <w:t xml:space="preserve">set out </w:t>
      </w:r>
      <w:r w:rsidR="00072EFF" w:rsidRPr="00C22807">
        <w:rPr>
          <w:lang w:val="en-AU"/>
        </w:rPr>
        <w:t xml:space="preserve">a </w:t>
      </w:r>
      <w:r w:rsidR="00510EF3" w:rsidRPr="00C22807">
        <w:rPr>
          <w:lang w:val="en-AU"/>
        </w:rPr>
        <w:t>detailed situational, gender and disability analysis</w:t>
      </w:r>
      <w:r w:rsidR="00072EFF" w:rsidRPr="00C22807">
        <w:rPr>
          <w:lang w:val="en-AU"/>
        </w:rPr>
        <w:t>;</w:t>
      </w:r>
      <w:r w:rsidR="00510EF3" w:rsidRPr="00C22807">
        <w:rPr>
          <w:lang w:val="en-AU"/>
        </w:rPr>
        <w:t xml:space="preserve"> </w:t>
      </w:r>
      <w:r w:rsidR="00072EFF" w:rsidRPr="00C22807">
        <w:rPr>
          <w:lang w:val="en-AU"/>
        </w:rPr>
        <w:t xml:space="preserve">the </w:t>
      </w:r>
      <w:r w:rsidR="003C7A94" w:rsidRPr="00C22807">
        <w:rPr>
          <w:lang w:val="en-AU"/>
        </w:rPr>
        <w:t>design logic and outcomes</w:t>
      </w:r>
      <w:r w:rsidR="00072EFF" w:rsidRPr="00C22807">
        <w:rPr>
          <w:lang w:val="en-AU"/>
        </w:rPr>
        <w:t>;</w:t>
      </w:r>
      <w:r w:rsidR="003C7A94" w:rsidRPr="00C22807">
        <w:rPr>
          <w:lang w:val="en-AU"/>
        </w:rPr>
        <w:t xml:space="preserve"> </w:t>
      </w:r>
      <w:r w:rsidR="00072EFF" w:rsidRPr="00C22807">
        <w:rPr>
          <w:lang w:val="en-AU"/>
        </w:rPr>
        <w:t xml:space="preserve">the </w:t>
      </w:r>
      <w:r w:rsidR="005C2A34" w:rsidRPr="00C22807">
        <w:rPr>
          <w:lang w:val="en-AU"/>
        </w:rPr>
        <w:t>M&amp;E</w:t>
      </w:r>
      <w:r w:rsidR="00510EF3" w:rsidRPr="00C22807">
        <w:rPr>
          <w:lang w:val="en-AU"/>
        </w:rPr>
        <w:t xml:space="preserve"> approach</w:t>
      </w:r>
      <w:r w:rsidR="00072EFF" w:rsidRPr="00C22807">
        <w:rPr>
          <w:lang w:val="en-AU"/>
        </w:rPr>
        <w:t>;</w:t>
      </w:r>
      <w:r w:rsidR="00510EF3" w:rsidRPr="00C22807">
        <w:rPr>
          <w:lang w:val="en-AU"/>
        </w:rPr>
        <w:t xml:space="preserve"> and </w:t>
      </w:r>
      <w:r w:rsidR="00910B6C" w:rsidRPr="00C22807">
        <w:rPr>
          <w:lang w:val="en-AU"/>
        </w:rPr>
        <w:t xml:space="preserve">an </w:t>
      </w:r>
      <w:r w:rsidR="00510EF3" w:rsidRPr="00C22807">
        <w:rPr>
          <w:lang w:val="en-AU"/>
        </w:rPr>
        <w:t>annual implementation plan and budget. In Vanuatu and Timor-Leste</w:t>
      </w:r>
      <w:r w:rsidR="00072EFF" w:rsidRPr="00C22807">
        <w:rPr>
          <w:lang w:val="en-AU"/>
        </w:rPr>
        <w:t>,</w:t>
      </w:r>
      <w:r w:rsidR="00510EF3" w:rsidRPr="00C22807">
        <w:rPr>
          <w:lang w:val="en-AU"/>
        </w:rPr>
        <w:t xml:space="preserve"> </w:t>
      </w:r>
      <w:r w:rsidR="00112A40" w:rsidRPr="00C22807">
        <w:rPr>
          <w:lang w:val="en-AU"/>
        </w:rPr>
        <w:t xml:space="preserve">AHP NGOs have </w:t>
      </w:r>
      <w:r w:rsidR="004959E2" w:rsidRPr="00C22807">
        <w:rPr>
          <w:lang w:val="en-AU"/>
        </w:rPr>
        <w:t xml:space="preserve">existing </w:t>
      </w:r>
      <w:r w:rsidR="00112A40" w:rsidRPr="00C22807">
        <w:rPr>
          <w:lang w:val="en-AU"/>
        </w:rPr>
        <w:t>strong, collaborative working relationships</w:t>
      </w:r>
      <w:r w:rsidR="005C2A34" w:rsidRPr="00C22807">
        <w:rPr>
          <w:lang w:val="en-AU"/>
        </w:rPr>
        <w:t xml:space="preserve">; </w:t>
      </w:r>
      <w:r w:rsidR="00072EFF" w:rsidRPr="00C22807">
        <w:rPr>
          <w:lang w:val="en-AU"/>
        </w:rPr>
        <w:t xml:space="preserve">they </w:t>
      </w:r>
      <w:r w:rsidR="004959E2" w:rsidRPr="00C22807">
        <w:rPr>
          <w:lang w:val="en-AU"/>
        </w:rPr>
        <w:t xml:space="preserve">worked together </w:t>
      </w:r>
      <w:r w:rsidR="00112A40" w:rsidRPr="00C22807">
        <w:rPr>
          <w:lang w:val="en-AU"/>
        </w:rPr>
        <w:t xml:space="preserve">to </w:t>
      </w:r>
      <w:r w:rsidR="004959E2" w:rsidRPr="00C22807">
        <w:rPr>
          <w:lang w:val="en-AU"/>
        </w:rPr>
        <w:t xml:space="preserve">conduct </w:t>
      </w:r>
      <w:r w:rsidR="00510EF3" w:rsidRPr="00C22807">
        <w:rPr>
          <w:lang w:val="en-AU"/>
        </w:rPr>
        <w:t>shared analysis</w:t>
      </w:r>
      <w:r w:rsidR="004959E2" w:rsidRPr="00C22807">
        <w:rPr>
          <w:lang w:val="en-AU"/>
        </w:rPr>
        <w:t xml:space="preserve"> and to produce a joint</w:t>
      </w:r>
      <w:r w:rsidR="00510EF3" w:rsidRPr="00C22807">
        <w:rPr>
          <w:lang w:val="en-AU"/>
        </w:rPr>
        <w:t xml:space="preserve"> program logic and </w:t>
      </w:r>
      <w:r w:rsidR="005C2A34" w:rsidRPr="00C22807">
        <w:rPr>
          <w:lang w:val="en-AU"/>
        </w:rPr>
        <w:t>M&amp;E</w:t>
      </w:r>
      <w:r w:rsidR="00510EF3" w:rsidRPr="00394C86">
        <w:rPr>
          <w:lang w:val="en-AU"/>
        </w:rPr>
        <w:t xml:space="preserve"> framework. </w:t>
      </w:r>
      <w:r w:rsidR="00112A40" w:rsidRPr="00394C86">
        <w:rPr>
          <w:lang w:val="en-AU"/>
        </w:rPr>
        <w:t>In the other countries</w:t>
      </w:r>
      <w:r w:rsidR="00864C71" w:rsidRPr="00394C86">
        <w:rPr>
          <w:lang w:val="en-AU"/>
        </w:rPr>
        <w:t>,</w:t>
      </w:r>
      <w:r w:rsidR="00112A40" w:rsidRPr="00394C86">
        <w:rPr>
          <w:lang w:val="en-AU"/>
        </w:rPr>
        <w:t xml:space="preserve"> AHP NGOs are at earl</w:t>
      </w:r>
      <w:r w:rsidR="004959E2" w:rsidRPr="00394C86">
        <w:rPr>
          <w:lang w:val="en-AU"/>
        </w:rPr>
        <w:t>ier</w:t>
      </w:r>
      <w:r w:rsidR="00112A40" w:rsidRPr="00394C86">
        <w:rPr>
          <w:lang w:val="en-AU"/>
        </w:rPr>
        <w:t xml:space="preserve"> stages of coordination and opted to pursue individual </w:t>
      </w:r>
      <w:r w:rsidR="00FB33AB" w:rsidRPr="00C22807">
        <w:rPr>
          <w:lang w:val="en-AU"/>
        </w:rPr>
        <w:t>activity plans</w:t>
      </w:r>
      <w:r w:rsidR="00112A40" w:rsidRPr="00394C86">
        <w:rPr>
          <w:lang w:val="en-AU"/>
        </w:rPr>
        <w:t xml:space="preserve">. </w:t>
      </w:r>
      <w:r w:rsidR="008431BF" w:rsidRPr="00C22807">
        <w:rPr>
          <w:lang w:val="en-AU"/>
        </w:rPr>
        <w:br/>
      </w:r>
      <w:r w:rsidR="008431BF" w:rsidRPr="00C22807">
        <w:rPr>
          <w:lang w:val="en-AU"/>
        </w:rPr>
        <w:br/>
      </w:r>
      <w:r w:rsidR="00910B6C" w:rsidRPr="00394C86">
        <w:rPr>
          <w:lang w:val="en-AU"/>
        </w:rPr>
        <w:t>Flexibility is built into the program through the annual review</w:t>
      </w:r>
      <w:r w:rsidR="00EB6720" w:rsidRPr="00394C86">
        <w:rPr>
          <w:lang w:val="en-AU"/>
        </w:rPr>
        <w:t>, learning</w:t>
      </w:r>
      <w:r w:rsidR="00072EFF" w:rsidRPr="00C22807">
        <w:rPr>
          <w:lang w:val="en-AU"/>
        </w:rPr>
        <w:t>,</w:t>
      </w:r>
      <w:r w:rsidR="00792258" w:rsidRPr="00394C86">
        <w:rPr>
          <w:lang w:val="en-AU"/>
        </w:rPr>
        <w:t xml:space="preserve"> and planning process. </w:t>
      </w:r>
      <w:r w:rsidR="00910B6C" w:rsidRPr="00394C86">
        <w:rPr>
          <w:lang w:val="en-AU"/>
        </w:rPr>
        <w:t>Each year NGOs will submit annual implementation plans for each activity, fol</w:t>
      </w:r>
      <w:r w:rsidR="00792258" w:rsidRPr="00394C86">
        <w:rPr>
          <w:lang w:val="en-AU"/>
        </w:rPr>
        <w:t>lowing the annual review forum</w:t>
      </w:r>
      <w:r w:rsidR="00910B6C" w:rsidRPr="00394C86">
        <w:rPr>
          <w:lang w:val="en-AU"/>
        </w:rPr>
        <w:t xml:space="preserve">. NGOs </w:t>
      </w:r>
      <w:r w:rsidR="00A70A71" w:rsidRPr="00394C86">
        <w:rPr>
          <w:lang w:val="en-AU"/>
        </w:rPr>
        <w:t>are expected to</w:t>
      </w:r>
      <w:r w:rsidR="00910B6C" w:rsidRPr="00394C86">
        <w:rPr>
          <w:lang w:val="en-AU"/>
        </w:rPr>
        <w:t xml:space="preserve"> revise funding allocations </w:t>
      </w:r>
      <w:r w:rsidR="00792258" w:rsidRPr="00394C86">
        <w:rPr>
          <w:lang w:val="en-AU"/>
        </w:rPr>
        <w:t>based on activity performance and contribution to country plan outcomes</w:t>
      </w:r>
      <w:r w:rsidR="00910B6C" w:rsidRPr="00394C86">
        <w:rPr>
          <w:lang w:val="en-AU"/>
        </w:rPr>
        <w:t>.</w:t>
      </w:r>
      <w:r w:rsidR="00792258" w:rsidRPr="00394C86">
        <w:rPr>
          <w:lang w:val="en-AU"/>
        </w:rPr>
        <w:t xml:space="preserve"> </w:t>
      </w:r>
      <w:r w:rsidR="00910B6C" w:rsidRPr="00394C86">
        <w:rPr>
          <w:lang w:val="en-AU"/>
        </w:rPr>
        <w:t xml:space="preserve">Annual implementation plans will be reviewed and approved by DFAT HRS and Posts. </w:t>
      </w:r>
      <w:r w:rsidR="00A70A71" w:rsidRPr="00394C86">
        <w:rPr>
          <w:lang w:val="en-AU"/>
        </w:rPr>
        <w:t>DFAT will also determine the amount of funding and whether all activities are continued in each of the five countries based on performance. This will include an assessment of NGO results achieved and whether these are sufficient given the stage of project implementation</w:t>
      </w:r>
      <w:r w:rsidR="005C2A34" w:rsidRPr="00C22807">
        <w:rPr>
          <w:lang w:val="en-AU"/>
        </w:rPr>
        <w:t>,</w:t>
      </w:r>
      <w:r w:rsidR="00A70A71" w:rsidRPr="00394C86">
        <w:rPr>
          <w:lang w:val="en-AU"/>
        </w:rPr>
        <w:t xml:space="preserve"> the level of engagement with and from DFAT Post</w:t>
      </w:r>
      <w:r w:rsidR="005C2A34" w:rsidRPr="00C22807">
        <w:rPr>
          <w:lang w:val="en-AU"/>
        </w:rPr>
        <w:t>,</w:t>
      </w:r>
      <w:r w:rsidR="00A70A71" w:rsidRPr="00394C86">
        <w:rPr>
          <w:lang w:val="en-AU"/>
        </w:rPr>
        <w:t xml:space="preserve"> </w:t>
      </w:r>
      <w:r w:rsidR="00072EFF" w:rsidRPr="00C22807">
        <w:rPr>
          <w:lang w:val="en-AU"/>
        </w:rPr>
        <w:t xml:space="preserve">and </w:t>
      </w:r>
      <w:r w:rsidR="00A70A71" w:rsidRPr="00394C86">
        <w:rPr>
          <w:lang w:val="en-AU"/>
        </w:rPr>
        <w:t xml:space="preserve">coordination between AHP NGOs. </w:t>
      </w:r>
      <w:r w:rsidR="008431BF" w:rsidRPr="00C22807">
        <w:rPr>
          <w:lang w:val="en-AU"/>
        </w:rPr>
        <w:br/>
      </w:r>
      <w:r w:rsidR="008431BF" w:rsidRPr="00C22807">
        <w:rPr>
          <w:lang w:val="en-AU"/>
        </w:rPr>
        <w:br/>
      </w:r>
      <w:r w:rsidR="00E32C1B" w:rsidRPr="00394C86">
        <w:rPr>
          <w:lang w:val="en-AU"/>
        </w:rPr>
        <w:t>Budget</w:t>
      </w:r>
      <w:r w:rsidR="00510EF3" w:rsidRPr="00394C86">
        <w:rPr>
          <w:lang w:val="en-AU"/>
        </w:rPr>
        <w:t xml:space="preserve"> estimates</w:t>
      </w:r>
      <w:r w:rsidR="00E32C1B" w:rsidRPr="00394C86">
        <w:rPr>
          <w:lang w:val="en-AU"/>
        </w:rPr>
        <w:t xml:space="preserve"> by country for </w:t>
      </w:r>
      <w:r w:rsidR="00106244" w:rsidRPr="00C22807">
        <w:rPr>
          <w:lang w:val="en-AU"/>
        </w:rPr>
        <w:t>Shared Services</w:t>
      </w:r>
      <w:r w:rsidR="00510EF3" w:rsidRPr="00394C86">
        <w:rPr>
          <w:lang w:val="en-AU"/>
        </w:rPr>
        <w:t xml:space="preserve"> are</w:t>
      </w:r>
      <w:r w:rsidR="009C2973" w:rsidRPr="00394C86">
        <w:rPr>
          <w:lang w:val="en-AU"/>
        </w:rPr>
        <w:t xml:space="preserve"> at Annex </w:t>
      </w:r>
      <w:r w:rsidR="00280AA3" w:rsidRPr="00394C86">
        <w:rPr>
          <w:lang w:val="en-AU"/>
        </w:rPr>
        <w:t>7</w:t>
      </w:r>
      <w:r w:rsidR="00510EF3" w:rsidRPr="00394C86">
        <w:rPr>
          <w:lang w:val="en-AU"/>
        </w:rPr>
        <w:t xml:space="preserve">. This information will be updated each year in the </w:t>
      </w:r>
      <w:r w:rsidR="005C2A34" w:rsidRPr="00C22807">
        <w:rPr>
          <w:lang w:val="en-AU"/>
        </w:rPr>
        <w:t>c</w:t>
      </w:r>
      <w:r w:rsidR="00510EF3" w:rsidRPr="00C22807">
        <w:rPr>
          <w:lang w:val="en-AU"/>
        </w:rPr>
        <w:t xml:space="preserve">ountry </w:t>
      </w:r>
      <w:r w:rsidR="005C2A34" w:rsidRPr="00C22807">
        <w:rPr>
          <w:lang w:val="en-AU"/>
        </w:rPr>
        <w:t>p</w:t>
      </w:r>
      <w:r w:rsidR="00510EF3" w:rsidRPr="00394C86">
        <w:rPr>
          <w:lang w:val="en-AU"/>
        </w:rPr>
        <w:t xml:space="preserve">lans. </w:t>
      </w:r>
      <w:r w:rsidR="008431BF" w:rsidRPr="00C22807">
        <w:rPr>
          <w:b/>
          <w:lang w:val="en-AU"/>
        </w:rPr>
        <w:br/>
      </w:r>
      <w:r w:rsidR="008431BF" w:rsidRPr="00C22807">
        <w:rPr>
          <w:b/>
          <w:lang w:val="en-AU"/>
        </w:rPr>
        <w:br/>
      </w:r>
      <w:r w:rsidR="003C330A" w:rsidRPr="00394C86">
        <w:rPr>
          <w:b/>
          <w:lang w:val="en-AU"/>
        </w:rPr>
        <w:t xml:space="preserve">Country </w:t>
      </w:r>
      <w:r w:rsidR="00FF1E42" w:rsidRPr="00C22807">
        <w:rPr>
          <w:b/>
          <w:lang w:val="en-AU"/>
        </w:rPr>
        <w:t>p</w:t>
      </w:r>
      <w:r w:rsidR="003C330A" w:rsidRPr="00C22807">
        <w:rPr>
          <w:b/>
          <w:lang w:val="en-AU"/>
        </w:rPr>
        <w:t>lans</w:t>
      </w:r>
      <w:r w:rsidR="00505466" w:rsidRPr="00C22807">
        <w:rPr>
          <w:lang w:val="en-AU"/>
        </w:rPr>
        <w:t xml:space="preserve"> have been developed </w:t>
      </w:r>
      <w:r w:rsidR="005C2A34" w:rsidRPr="00C22807">
        <w:rPr>
          <w:lang w:val="en-AU"/>
        </w:rPr>
        <w:t xml:space="preserve">for </w:t>
      </w:r>
      <w:r w:rsidR="003C330A" w:rsidRPr="00C22807">
        <w:rPr>
          <w:lang w:val="en-AU"/>
        </w:rPr>
        <w:t xml:space="preserve">each of the five </w:t>
      </w:r>
      <w:r w:rsidR="00505466" w:rsidRPr="00C22807">
        <w:rPr>
          <w:lang w:val="en-AU"/>
        </w:rPr>
        <w:t xml:space="preserve">focus </w:t>
      </w:r>
      <w:r w:rsidR="003C330A" w:rsidRPr="00C22807">
        <w:rPr>
          <w:lang w:val="en-AU"/>
        </w:rPr>
        <w:t>countries</w:t>
      </w:r>
      <w:r w:rsidR="00864C71" w:rsidRPr="00C22807">
        <w:rPr>
          <w:lang w:val="en-AU"/>
        </w:rPr>
        <w:t xml:space="preserve">. These plans </w:t>
      </w:r>
      <w:r w:rsidR="00505466" w:rsidRPr="00C22807">
        <w:rPr>
          <w:lang w:val="en-AU"/>
        </w:rPr>
        <w:t>identify which AHP NGOs will work in the country</w:t>
      </w:r>
      <w:r w:rsidR="00072EFF" w:rsidRPr="00C22807">
        <w:rPr>
          <w:lang w:val="en-AU"/>
        </w:rPr>
        <w:t xml:space="preserve"> and</w:t>
      </w:r>
      <w:r w:rsidR="00505466" w:rsidRPr="00C22807">
        <w:rPr>
          <w:lang w:val="en-AU"/>
        </w:rPr>
        <w:t xml:space="preserve"> their local partners</w:t>
      </w:r>
      <w:r w:rsidR="00072EFF" w:rsidRPr="00C22807">
        <w:rPr>
          <w:lang w:val="en-AU"/>
        </w:rPr>
        <w:t>;</w:t>
      </w:r>
      <w:r w:rsidR="003C5618" w:rsidRPr="00C22807">
        <w:rPr>
          <w:lang w:val="en-AU"/>
        </w:rPr>
        <w:t xml:space="preserve"> funding allocations</w:t>
      </w:r>
      <w:r w:rsidR="00072EFF" w:rsidRPr="00C22807">
        <w:rPr>
          <w:lang w:val="en-AU"/>
        </w:rPr>
        <w:t>;</w:t>
      </w:r>
      <w:r w:rsidR="003C5618" w:rsidRPr="00C22807">
        <w:rPr>
          <w:lang w:val="en-AU"/>
        </w:rPr>
        <w:t xml:space="preserve"> and</w:t>
      </w:r>
      <w:r w:rsidR="00505466" w:rsidRPr="00C22807">
        <w:rPr>
          <w:lang w:val="en-AU"/>
        </w:rPr>
        <w:t xml:space="preserve"> </w:t>
      </w:r>
      <w:r w:rsidR="001876E6" w:rsidRPr="00C22807">
        <w:rPr>
          <w:lang w:val="en-AU"/>
        </w:rPr>
        <w:t xml:space="preserve">the objectives, outcomes and indicators </w:t>
      </w:r>
      <w:r w:rsidR="00505466" w:rsidRPr="00C22807">
        <w:rPr>
          <w:lang w:val="en-AU"/>
        </w:rPr>
        <w:t xml:space="preserve">which will </w:t>
      </w:r>
      <w:r w:rsidR="00072EFF" w:rsidRPr="00C22807">
        <w:rPr>
          <w:lang w:val="en-AU"/>
        </w:rPr>
        <w:t xml:space="preserve">be </w:t>
      </w:r>
      <w:r w:rsidR="00505466" w:rsidRPr="00C22807">
        <w:rPr>
          <w:lang w:val="en-AU"/>
        </w:rPr>
        <w:t xml:space="preserve">collectively </w:t>
      </w:r>
      <w:r w:rsidR="00D814C9" w:rsidRPr="00C22807">
        <w:rPr>
          <w:lang w:val="en-AU"/>
        </w:rPr>
        <w:t>addressed in that country</w:t>
      </w:r>
      <w:r w:rsidR="00505466" w:rsidRPr="00C22807">
        <w:rPr>
          <w:lang w:val="en-AU"/>
        </w:rPr>
        <w:t>. Country plans articulate</w:t>
      </w:r>
      <w:r w:rsidR="001876E6" w:rsidRPr="00C22807">
        <w:rPr>
          <w:lang w:val="en-AU"/>
        </w:rPr>
        <w:t xml:space="preserve"> </w:t>
      </w:r>
      <w:r w:rsidR="003C330A" w:rsidRPr="00C22807">
        <w:rPr>
          <w:lang w:val="en-AU"/>
        </w:rPr>
        <w:t>how AHP NGOs will coordinate and undertake collaborative work</w:t>
      </w:r>
      <w:r w:rsidR="00905B1F" w:rsidRPr="00C22807">
        <w:rPr>
          <w:lang w:val="en-AU"/>
        </w:rPr>
        <w:t>, including sharing services and building expertise on gender, disability, child protection and</w:t>
      </w:r>
      <w:r w:rsidR="00072EFF" w:rsidRPr="00C22807">
        <w:rPr>
          <w:lang w:val="en-AU"/>
        </w:rPr>
        <w:t>,</w:t>
      </w:r>
      <w:r w:rsidR="00905B1F" w:rsidRPr="00394C86">
        <w:rPr>
          <w:lang w:val="en-AU"/>
        </w:rPr>
        <w:t xml:space="preserve"> in some cases</w:t>
      </w:r>
      <w:r w:rsidR="00072EFF" w:rsidRPr="00C22807">
        <w:rPr>
          <w:lang w:val="en-AU"/>
        </w:rPr>
        <w:t>,</w:t>
      </w:r>
      <w:r w:rsidR="00905B1F" w:rsidRPr="00394C86">
        <w:rPr>
          <w:lang w:val="en-AU"/>
        </w:rPr>
        <w:t xml:space="preserve"> child rights</w:t>
      </w:r>
      <w:r w:rsidR="001876E6" w:rsidRPr="00394C86">
        <w:rPr>
          <w:lang w:val="en-AU"/>
        </w:rPr>
        <w:t>. AHP NGOs worked toge</w:t>
      </w:r>
      <w:r w:rsidR="00D814C9" w:rsidRPr="00394C86">
        <w:rPr>
          <w:lang w:val="en-AU"/>
        </w:rPr>
        <w:t xml:space="preserve">ther during the design process </w:t>
      </w:r>
      <w:r w:rsidR="001876E6" w:rsidRPr="00394C86">
        <w:rPr>
          <w:lang w:val="en-AU"/>
        </w:rPr>
        <w:t xml:space="preserve">and will continue to operate as a </w:t>
      </w:r>
      <w:r w:rsidR="00217C1E" w:rsidRPr="00394C86">
        <w:rPr>
          <w:lang w:val="en-AU"/>
        </w:rPr>
        <w:t>c</w:t>
      </w:r>
      <w:r w:rsidR="00505466" w:rsidRPr="00394C86">
        <w:rPr>
          <w:lang w:val="en-AU"/>
        </w:rPr>
        <w:t xml:space="preserve">ountry </w:t>
      </w:r>
      <w:r w:rsidR="00217C1E" w:rsidRPr="00394C86">
        <w:rPr>
          <w:lang w:val="en-AU"/>
        </w:rPr>
        <w:t>g</w:t>
      </w:r>
      <w:r w:rsidR="001876E6" w:rsidRPr="00394C86">
        <w:rPr>
          <w:lang w:val="en-AU"/>
        </w:rPr>
        <w:t xml:space="preserve">overnance </w:t>
      </w:r>
      <w:r w:rsidR="00217C1E" w:rsidRPr="00394C86">
        <w:rPr>
          <w:lang w:val="en-AU"/>
        </w:rPr>
        <w:t>c</w:t>
      </w:r>
      <w:r w:rsidR="001876E6" w:rsidRPr="00394C86">
        <w:rPr>
          <w:lang w:val="en-AU"/>
        </w:rPr>
        <w:t>ommittee during implementation (see Governance and Management arrangements below)</w:t>
      </w:r>
      <w:r w:rsidR="00505466" w:rsidRPr="00394C86">
        <w:rPr>
          <w:lang w:val="en-AU"/>
        </w:rPr>
        <w:t>. C</w:t>
      </w:r>
      <w:r w:rsidR="003C330A" w:rsidRPr="00394C86">
        <w:rPr>
          <w:lang w:val="en-AU"/>
        </w:rPr>
        <w:t xml:space="preserve">ountry </w:t>
      </w:r>
      <w:r w:rsidR="001876E6" w:rsidRPr="00394C86">
        <w:rPr>
          <w:lang w:val="en-AU"/>
        </w:rPr>
        <w:t>p</w:t>
      </w:r>
      <w:r w:rsidR="003C330A" w:rsidRPr="00394C86">
        <w:rPr>
          <w:lang w:val="en-AU"/>
        </w:rPr>
        <w:t xml:space="preserve">lans identify how </w:t>
      </w:r>
      <w:r w:rsidR="009D0B2B" w:rsidRPr="00C22807">
        <w:rPr>
          <w:lang w:val="en-AU"/>
        </w:rPr>
        <w:t>Country Committee</w:t>
      </w:r>
      <w:r w:rsidR="00D814C9" w:rsidRPr="00394C86">
        <w:rPr>
          <w:lang w:val="en-AU"/>
        </w:rPr>
        <w:t>s</w:t>
      </w:r>
      <w:r w:rsidR="001876E6" w:rsidRPr="00394C86">
        <w:rPr>
          <w:lang w:val="en-AU"/>
        </w:rPr>
        <w:t xml:space="preserve"> </w:t>
      </w:r>
      <w:r w:rsidR="003C330A" w:rsidRPr="00394C86">
        <w:rPr>
          <w:lang w:val="en-AU"/>
        </w:rPr>
        <w:t>will engage with DFAT Posts, government disaster management mechanisms, the Red Cross</w:t>
      </w:r>
      <w:r w:rsidR="008330DB" w:rsidRPr="00394C86">
        <w:rPr>
          <w:lang w:val="en-AU"/>
        </w:rPr>
        <w:t>, women’s</w:t>
      </w:r>
      <w:r w:rsidR="003C330A" w:rsidRPr="00394C86">
        <w:rPr>
          <w:lang w:val="en-AU"/>
        </w:rPr>
        <w:t xml:space="preserve"> and other NGO</w:t>
      </w:r>
      <w:r w:rsidR="008330DB" w:rsidRPr="00394C86">
        <w:rPr>
          <w:lang w:val="en-AU"/>
        </w:rPr>
        <w:t>s</w:t>
      </w:r>
      <w:r w:rsidR="002A5568" w:rsidRPr="00C22807">
        <w:rPr>
          <w:lang w:val="en-AU"/>
        </w:rPr>
        <w:t>,</w:t>
      </w:r>
      <w:r w:rsidR="003C330A" w:rsidRPr="00394C86">
        <w:rPr>
          <w:lang w:val="en-AU"/>
        </w:rPr>
        <w:t xml:space="preserve"> and donor programs. </w:t>
      </w:r>
      <w:r w:rsidR="008431BF" w:rsidRPr="00C22807">
        <w:rPr>
          <w:lang w:val="en-AU"/>
        </w:rPr>
        <w:br/>
      </w:r>
      <w:r w:rsidR="008431BF" w:rsidRPr="00C22807">
        <w:rPr>
          <w:lang w:val="en-AU"/>
        </w:rPr>
        <w:br/>
      </w:r>
      <w:r w:rsidR="001876E6" w:rsidRPr="00394C86">
        <w:rPr>
          <w:lang w:val="en-AU"/>
        </w:rPr>
        <w:t xml:space="preserve">The </w:t>
      </w:r>
      <w:r w:rsidR="001B44A2" w:rsidRPr="00C22807">
        <w:rPr>
          <w:lang w:val="en-AU"/>
        </w:rPr>
        <w:t>AHP SU</w:t>
      </w:r>
      <w:r w:rsidR="001876E6" w:rsidRPr="00C22807">
        <w:rPr>
          <w:lang w:val="en-AU"/>
        </w:rPr>
        <w:t xml:space="preserve"> will support the </w:t>
      </w:r>
      <w:r w:rsidR="009D0B2B" w:rsidRPr="00C22807">
        <w:rPr>
          <w:lang w:val="en-AU"/>
        </w:rPr>
        <w:t>Country Committee</w:t>
      </w:r>
      <w:r w:rsidR="001876E6" w:rsidRPr="00394C86">
        <w:rPr>
          <w:lang w:val="en-AU"/>
        </w:rPr>
        <w:t xml:space="preserve"> to </w:t>
      </w:r>
      <w:r w:rsidR="003C330A" w:rsidRPr="00394C86">
        <w:rPr>
          <w:lang w:val="en-AU"/>
        </w:rPr>
        <w:t>annual</w:t>
      </w:r>
      <w:r w:rsidR="00FA2466" w:rsidRPr="00394C86">
        <w:rPr>
          <w:lang w:val="en-AU"/>
        </w:rPr>
        <w:t>ly review progress against the country p</w:t>
      </w:r>
      <w:r w:rsidR="003C330A" w:rsidRPr="00394C86">
        <w:rPr>
          <w:lang w:val="en-AU"/>
        </w:rPr>
        <w:t>lan</w:t>
      </w:r>
      <w:r w:rsidR="00FA2466" w:rsidRPr="00394C86">
        <w:rPr>
          <w:lang w:val="en-AU"/>
        </w:rPr>
        <w:t xml:space="preserve"> outcomes</w:t>
      </w:r>
      <w:r w:rsidR="00D814C9" w:rsidRPr="00394C86">
        <w:rPr>
          <w:lang w:val="en-AU"/>
        </w:rPr>
        <w:t>, monitor risks</w:t>
      </w:r>
      <w:r w:rsidR="001876E6" w:rsidRPr="00394C86">
        <w:rPr>
          <w:lang w:val="en-AU"/>
        </w:rPr>
        <w:t xml:space="preserve"> and set priorities for the coming year</w:t>
      </w:r>
      <w:r w:rsidR="00FA2466" w:rsidRPr="00394C86">
        <w:rPr>
          <w:lang w:val="en-AU"/>
        </w:rPr>
        <w:t xml:space="preserve"> (see </w:t>
      </w:r>
      <w:r w:rsidR="00291756" w:rsidRPr="00394C86">
        <w:rPr>
          <w:lang w:val="en-AU"/>
        </w:rPr>
        <w:t xml:space="preserve">Governance and </w:t>
      </w:r>
      <w:r w:rsidR="00FA2466" w:rsidRPr="00394C86">
        <w:rPr>
          <w:lang w:val="en-AU"/>
        </w:rPr>
        <w:t>Monitoring and Evaluation section</w:t>
      </w:r>
      <w:r w:rsidR="00291756" w:rsidRPr="00394C86">
        <w:rPr>
          <w:lang w:val="en-AU"/>
        </w:rPr>
        <w:t>s</w:t>
      </w:r>
      <w:r w:rsidR="00FA2466" w:rsidRPr="00394C86">
        <w:rPr>
          <w:lang w:val="en-AU"/>
        </w:rPr>
        <w:t xml:space="preserve"> below)</w:t>
      </w:r>
      <w:r w:rsidR="003C330A" w:rsidRPr="00394C86">
        <w:rPr>
          <w:lang w:val="en-AU"/>
        </w:rPr>
        <w:t>.</w:t>
      </w:r>
      <w:r w:rsidR="00F376B4" w:rsidRPr="00394C86">
        <w:t xml:space="preserve"> DFAT and </w:t>
      </w:r>
      <w:r w:rsidR="00CD1696" w:rsidRPr="00C22807">
        <w:t xml:space="preserve">the </w:t>
      </w:r>
      <w:r w:rsidR="00F376B4" w:rsidRPr="00394C86">
        <w:t xml:space="preserve">AHP SU will aim to engage the </w:t>
      </w:r>
      <w:r w:rsidR="002A5568" w:rsidRPr="00C22807">
        <w:t>Steering Committees</w:t>
      </w:r>
      <w:r w:rsidR="00F376B4" w:rsidRPr="00394C86">
        <w:t xml:space="preserve"> and </w:t>
      </w:r>
      <w:r w:rsidR="002A5568" w:rsidRPr="00CE6222">
        <w:t>C</w:t>
      </w:r>
      <w:r w:rsidR="00F376B4" w:rsidRPr="00394C86">
        <w:t xml:space="preserve">ountry </w:t>
      </w:r>
      <w:r w:rsidR="002A5568" w:rsidRPr="00CE6222">
        <w:t>C</w:t>
      </w:r>
      <w:r w:rsidR="00F376B4" w:rsidRPr="00394C86">
        <w:t>ommittees with the APCCAP climate science specialists and an all</w:t>
      </w:r>
      <w:r w:rsidR="002A5568" w:rsidRPr="00CE6222">
        <w:t>-</w:t>
      </w:r>
      <w:r w:rsidR="00F376B4" w:rsidRPr="00394C86">
        <w:t>hazard DRR specialist as part of the annual planning cycle.</w:t>
      </w:r>
    </w:p>
    <w:p w14:paraId="6AF51471" w14:textId="4699416A" w:rsidR="00EB6720" w:rsidRPr="001A252A" w:rsidRDefault="001876E6" w:rsidP="00CE6222">
      <w:pPr>
        <w:rPr>
          <w:lang w:val="en-AU"/>
        </w:rPr>
      </w:pPr>
      <w:r w:rsidRPr="00394C86">
        <w:rPr>
          <w:b/>
          <w:lang w:val="en-AU"/>
        </w:rPr>
        <w:t xml:space="preserve">Mechanism 1 </w:t>
      </w:r>
      <w:r w:rsidR="00BF1A40" w:rsidRPr="00CE6222">
        <w:rPr>
          <w:b/>
          <w:lang w:val="en-AU"/>
        </w:rPr>
        <w:t>Shared Services</w:t>
      </w:r>
      <w:r w:rsidR="008431BF" w:rsidRPr="00CE6222">
        <w:rPr>
          <w:lang w:val="en-AU"/>
        </w:rPr>
        <w:br/>
      </w:r>
      <w:r w:rsidR="008431BF" w:rsidRPr="00CE6222">
        <w:rPr>
          <w:lang w:val="en-AU"/>
        </w:rPr>
        <w:br/>
      </w:r>
      <w:r w:rsidR="00510EF3" w:rsidRPr="00394C86">
        <w:rPr>
          <w:lang w:val="en-AU"/>
        </w:rPr>
        <w:t xml:space="preserve">Shared </w:t>
      </w:r>
      <w:r w:rsidR="00CE6222">
        <w:rPr>
          <w:lang w:val="en-AU"/>
        </w:rPr>
        <w:t>s</w:t>
      </w:r>
      <w:r w:rsidR="00510EF3" w:rsidRPr="00CE6222">
        <w:rPr>
          <w:lang w:val="en-AU"/>
        </w:rPr>
        <w:t>ervices funds (</w:t>
      </w:r>
      <w:r w:rsidR="0080634B" w:rsidRPr="00CE6222">
        <w:rPr>
          <w:lang w:val="en-AU"/>
        </w:rPr>
        <w:t>$</w:t>
      </w:r>
      <w:r w:rsidR="00510EF3" w:rsidRPr="00CE6222">
        <w:rPr>
          <w:lang w:val="en-AU"/>
        </w:rPr>
        <w:t>2.4m</w:t>
      </w:r>
      <w:r w:rsidR="007332E4" w:rsidRPr="00CE6222">
        <w:rPr>
          <w:lang w:val="en-AU"/>
        </w:rPr>
        <w:t xml:space="preserve"> total</w:t>
      </w:r>
      <w:r w:rsidR="00510EF3" w:rsidRPr="00CE6222">
        <w:rPr>
          <w:lang w:val="en-AU"/>
        </w:rPr>
        <w:t>)</w:t>
      </w:r>
      <w:r w:rsidR="001E0115" w:rsidRPr="00CE6222">
        <w:rPr>
          <w:lang w:val="en-AU"/>
        </w:rPr>
        <w:t xml:space="preserve"> incentivise NGOs to improve practice on social inclusion issues</w:t>
      </w:r>
      <w:r w:rsidR="00BF1A40" w:rsidRPr="00CE6222">
        <w:rPr>
          <w:lang w:val="en-AU"/>
        </w:rPr>
        <w:t>,</w:t>
      </w:r>
      <w:r w:rsidR="00EC0070" w:rsidRPr="00CE6222">
        <w:rPr>
          <w:lang w:val="en-AU"/>
        </w:rPr>
        <w:t xml:space="preserve"> </w:t>
      </w:r>
      <w:r w:rsidR="002A5568" w:rsidRPr="00CE6222">
        <w:rPr>
          <w:lang w:val="en-AU"/>
        </w:rPr>
        <w:t>to coordinate</w:t>
      </w:r>
      <w:r w:rsidR="00BF1A40" w:rsidRPr="00CE6222">
        <w:rPr>
          <w:lang w:val="en-AU"/>
        </w:rPr>
        <w:t>,</w:t>
      </w:r>
      <w:r w:rsidR="002A5568" w:rsidRPr="00CE6222">
        <w:rPr>
          <w:lang w:val="en-AU"/>
        </w:rPr>
        <w:t xml:space="preserve"> </w:t>
      </w:r>
      <w:r w:rsidR="001E0115" w:rsidRPr="00CE6222">
        <w:rPr>
          <w:lang w:val="en-AU"/>
        </w:rPr>
        <w:t xml:space="preserve">and </w:t>
      </w:r>
      <w:r w:rsidR="00BF1A40" w:rsidRPr="00CE6222">
        <w:rPr>
          <w:lang w:val="en-AU"/>
        </w:rPr>
        <w:t xml:space="preserve">to </w:t>
      </w:r>
      <w:r w:rsidR="001E0115" w:rsidRPr="00394C86">
        <w:rPr>
          <w:lang w:val="en-AU"/>
        </w:rPr>
        <w:t>collectively respond to changes in the country context. Different AHP NGOs have different strengths i</w:t>
      </w:r>
      <w:r w:rsidR="00EC0070" w:rsidRPr="00394C86">
        <w:rPr>
          <w:lang w:val="en-AU"/>
        </w:rPr>
        <w:t>n social inclusion. S</w:t>
      </w:r>
      <w:r w:rsidR="00324B40" w:rsidRPr="00394C86">
        <w:rPr>
          <w:lang w:val="en-AU"/>
        </w:rPr>
        <w:t xml:space="preserve">hared </w:t>
      </w:r>
      <w:r w:rsidR="00FF6661" w:rsidRPr="00CE6222">
        <w:rPr>
          <w:lang w:val="en-AU"/>
        </w:rPr>
        <w:t>s</w:t>
      </w:r>
      <w:r w:rsidR="00324B40" w:rsidRPr="00394C86">
        <w:rPr>
          <w:lang w:val="en-AU"/>
        </w:rPr>
        <w:t xml:space="preserve">ervices </w:t>
      </w:r>
      <w:r w:rsidR="00EC0070" w:rsidRPr="00394C86">
        <w:rPr>
          <w:lang w:val="en-AU"/>
        </w:rPr>
        <w:t>recognises these strengths</w:t>
      </w:r>
      <w:r w:rsidR="002A5568" w:rsidRPr="00CE6222">
        <w:rPr>
          <w:lang w:val="en-AU"/>
        </w:rPr>
        <w:t>,</w:t>
      </w:r>
      <w:r w:rsidR="00EC0070" w:rsidRPr="00CE6222">
        <w:rPr>
          <w:lang w:val="en-AU"/>
        </w:rPr>
        <w:t xml:space="preserve"> with different</w:t>
      </w:r>
      <w:r w:rsidR="001E0115" w:rsidRPr="00CE6222">
        <w:rPr>
          <w:lang w:val="en-AU"/>
        </w:rPr>
        <w:t xml:space="preserve"> NGOs </w:t>
      </w:r>
      <w:r w:rsidR="00EC0070" w:rsidRPr="00CE6222">
        <w:rPr>
          <w:lang w:val="en-AU"/>
        </w:rPr>
        <w:lastRenderedPageBreak/>
        <w:t xml:space="preserve">leading </w:t>
      </w:r>
      <w:r w:rsidR="00324B40" w:rsidRPr="00CE6222">
        <w:rPr>
          <w:lang w:val="en-AU"/>
        </w:rPr>
        <w:t>improve</w:t>
      </w:r>
      <w:r w:rsidR="00EC0070" w:rsidRPr="00CE6222">
        <w:rPr>
          <w:lang w:val="en-AU"/>
        </w:rPr>
        <w:t>d</w:t>
      </w:r>
      <w:r w:rsidR="001E0115" w:rsidRPr="00CE6222">
        <w:rPr>
          <w:lang w:val="en-AU"/>
        </w:rPr>
        <w:t xml:space="preserve"> practice</w:t>
      </w:r>
      <w:r w:rsidR="00EC0070" w:rsidRPr="00CE6222">
        <w:rPr>
          <w:lang w:val="en-AU"/>
        </w:rPr>
        <w:t>s</w:t>
      </w:r>
      <w:r w:rsidR="001E0115" w:rsidRPr="00CE6222">
        <w:rPr>
          <w:lang w:val="en-AU"/>
        </w:rPr>
        <w:t xml:space="preserve"> </w:t>
      </w:r>
      <w:r w:rsidR="00EC0070" w:rsidRPr="00CE6222">
        <w:rPr>
          <w:lang w:val="en-AU"/>
        </w:rPr>
        <w:t>with</w:t>
      </w:r>
      <w:r w:rsidR="001E0115" w:rsidRPr="00CE6222">
        <w:rPr>
          <w:lang w:val="en-AU"/>
        </w:rPr>
        <w:t xml:space="preserve"> o</w:t>
      </w:r>
      <w:r w:rsidR="00EC0070" w:rsidRPr="00CE6222">
        <w:rPr>
          <w:lang w:val="en-AU"/>
        </w:rPr>
        <w:t>ther AHP NGOs in the country. For example</w:t>
      </w:r>
      <w:r w:rsidR="00E13799" w:rsidRPr="00CE6222">
        <w:rPr>
          <w:lang w:val="en-AU"/>
        </w:rPr>
        <w:t>,</w:t>
      </w:r>
      <w:r w:rsidR="00EC0070" w:rsidRPr="00CE6222">
        <w:rPr>
          <w:lang w:val="en-AU"/>
        </w:rPr>
        <w:t xml:space="preserve"> in a number of countries</w:t>
      </w:r>
      <w:r w:rsidR="002A5568" w:rsidRPr="00CE6222">
        <w:rPr>
          <w:lang w:val="en-AU"/>
        </w:rPr>
        <w:t>,</w:t>
      </w:r>
      <w:r w:rsidR="00EC0070" w:rsidRPr="00CE6222">
        <w:rPr>
          <w:lang w:val="en-AU"/>
        </w:rPr>
        <w:t xml:space="preserve"> </w:t>
      </w:r>
      <w:r w:rsidR="0080634B" w:rsidRPr="00CE6222">
        <w:rPr>
          <w:lang w:val="en-AU"/>
        </w:rPr>
        <w:t>CARE</w:t>
      </w:r>
      <w:r w:rsidR="00EC0070" w:rsidRPr="00CE6222">
        <w:rPr>
          <w:lang w:val="en-AU"/>
        </w:rPr>
        <w:t xml:space="preserve"> will lead on improving practices across all partners on gender equality</w:t>
      </w:r>
      <w:r w:rsidR="001E0115" w:rsidRPr="00CE6222">
        <w:rPr>
          <w:lang w:val="en-AU"/>
        </w:rPr>
        <w:t>. In all countries</w:t>
      </w:r>
      <w:r w:rsidR="002A5568" w:rsidRPr="00CE6222">
        <w:rPr>
          <w:lang w:val="en-AU"/>
        </w:rPr>
        <w:t>,</w:t>
      </w:r>
      <w:r w:rsidR="001E0115" w:rsidRPr="00CE6222">
        <w:rPr>
          <w:lang w:val="en-AU"/>
        </w:rPr>
        <w:t xml:space="preserve"> </w:t>
      </w:r>
      <w:r w:rsidR="00F83E02" w:rsidRPr="00CE6222">
        <w:rPr>
          <w:lang w:val="en-AU"/>
        </w:rPr>
        <w:t>s</w:t>
      </w:r>
      <w:r w:rsidR="001E0115" w:rsidRPr="00CE6222">
        <w:rPr>
          <w:lang w:val="en-AU"/>
        </w:rPr>
        <w:t xml:space="preserve">hared </w:t>
      </w:r>
      <w:r w:rsidR="00F83E02" w:rsidRPr="00CE6222">
        <w:rPr>
          <w:lang w:val="en-AU"/>
        </w:rPr>
        <w:t>s</w:t>
      </w:r>
      <w:r w:rsidR="001E0115" w:rsidRPr="00394C86">
        <w:rPr>
          <w:lang w:val="en-AU"/>
        </w:rPr>
        <w:t xml:space="preserve">ervices will </w:t>
      </w:r>
      <w:r w:rsidR="00EC0070" w:rsidRPr="00394C86">
        <w:rPr>
          <w:lang w:val="en-AU"/>
        </w:rPr>
        <w:t xml:space="preserve">also </w:t>
      </w:r>
      <w:r w:rsidR="001E0115" w:rsidRPr="00394C86">
        <w:rPr>
          <w:lang w:val="en-AU"/>
        </w:rPr>
        <w:t xml:space="preserve">be used to support meaningful engagement by the relevant </w:t>
      </w:r>
      <w:r w:rsidR="00BF1A40" w:rsidRPr="00CE6222">
        <w:rPr>
          <w:lang w:val="en-AU"/>
        </w:rPr>
        <w:t xml:space="preserve">DPO </w:t>
      </w:r>
      <w:r w:rsidR="001E0115" w:rsidRPr="00CE6222">
        <w:rPr>
          <w:lang w:val="en-AU"/>
        </w:rPr>
        <w:t xml:space="preserve">in AHP </w:t>
      </w:r>
      <w:r w:rsidR="00964F8D" w:rsidRPr="00CE6222">
        <w:rPr>
          <w:lang w:val="en-AU"/>
        </w:rPr>
        <w:t>decision-making</w:t>
      </w:r>
      <w:r w:rsidR="001E0115" w:rsidRPr="00CE6222">
        <w:rPr>
          <w:lang w:val="en-AU"/>
        </w:rPr>
        <w:t xml:space="preserve"> and activities. The </w:t>
      </w:r>
      <w:r w:rsidR="00CE6222">
        <w:rPr>
          <w:lang w:val="en-AU"/>
        </w:rPr>
        <w:t>s</w:t>
      </w:r>
      <w:r w:rsidR="001E0115" w:rsidRPr="00CE6222">
        <w:rPr>
          <w:lang w:val="en-AU"/>
        </w:rPr>
        <w:t xml:space="preserve">hared </w:t>
      </w:r>
      <w:r w:rsidR="00CE6222">
        <w:rPr>
          <w:lang w:val="en-AU"/>
        </w:rPr>
        <w:t>s</w:t>
      </w:r>
      <w:r w:rsidR="001E0115" w:rsidRPr="00CE6222">
        <w:rPr>
          <w:lang w:val="en-AU"/>
        </w:rPr>
        <w:t xml:space="preserve">ervices fund also provides </w:t>
      </w:r>
      <w:r w:rsidR="0080634B" w:rsidRPr="00CE6222">
        <w:rPr>
          <w:lang w:val="en-AU"/>
        </w:rPr>
        <w:t>$</w:t>
      </w:r>
      <w:r w:rsidR="001E0115" w:rsidRPr="00CE6222">
        <w:rPr>
          <w:lang w:val="en-AU"/>
        </w:rPr>
        <w:t xml:space="preserve">30,000/year for an NGO to take the lead in coordinating </w:t>
      </w:r>
      <w:r w:rsidR="002A5568" w:rsidRPr="00CE6222">
        <w:rPr>
          <w:lang w:val="en-AU"/>
        </w:rPr>
        <w:t>C</w:t>
      </w:r>
      <w:r w:rsidR="001E0115" w:rsidRPr="00CE6222">
        <w:rPr>
          <w:lang w:val="en-AU"/>
        </w:rPr>
        <w:t xml:space="preserve">ountry </w:t>
      </w:r>
      <w:r w:rsidR="002A5568" w:rsidRPr="00CE6222">
        <w:rPr>
          <w:lang w:val="en-AU"/>
        </w:rPr>
        <w:t>C</w:t>
      </w:r>
      <w:r w:rsidR="001E0115" w:rsidRPr="00CE6222">
        <w:rPr>
          <w:lang w:val="en-AU"/>
        </w:rPr>
        <w:t>ommittee members and driving processes to share information, build consistency</w:t>
      </w:r>
      <w:r w:rsidR="002A5568" w:rsidRPr="00CE6222">
        <w:rPr>
          <w:lang w:val="en-AU"/>
        </w:rPr>
        <w:t>,</w:t>
      </w:r>
      <w:r w:rsidR="001E0115" w:rsidRPr="00CE6222">
        <w:rPr>
          <w:lang w:val="en-AU"/>
        </w:rPr>
        <w:t xml:space="preserve"> and identify opportunities for joint work</w:t>
      </w:r>
      <w:r w:rsidR="002A5568" w:rsidRPr="00CE6222">
        <w:rPr>
          <w:lang w:val="en-AU"/>
        </w:rPr>
        <w:t>,</w:t>
      </w:r>
      <w:r w:rsidR="001E0115" w:rsidRPr="00CE6222">
        <w:rPr>
          <w:lang w:val="en-AU"/>
        </w:rPr>
        <w:t xml:space="preserve"> including </w:t>
      </w:r>
      <w:r w:rsidR="00F83E02" w:rsidRPr="00CE6222">
        <w:rPr>
          <w:lang w:val="en-AU"/>
        </w:rPr>
        <w:t>M&amp;E</w:t>
      </w:r>
      <w:r w:rsidR="001E0115" w:rsidRPr="00CE6222">
        <w:rPr>
          <w:lang w:val="en-AU"/>
        </w:rPr>
        <w:t xml:space="preserve">. </w:t>
      </w:r>
      <w:r w:rsidR="00F83E02" w:rsidRPr="00CE6222">
        <w:rPr>
          <w:lang w:val="en-AU"/>
        </w:rPr>
        <w:t>Shared s</w:t>
      </w:r>
      <w:r w:rsidR="00BF1A40" w:rsidRPr="00CE6222">
        <w:rPr>
          <w:lang w:val="en-AU"/>
        </w:rPr>
        <w:t>ervices</w:t>
      </w:r>
      <w:r w:rsidR="00324B40" w:rsidRPr="00CE6222">
        <w:rPr>
          <w:lang w:val="en-AU"/>
        </w:rPr>
        <w:t xml:space="preserve"> priorities are identified annually and managed through the </w:t>
      </w:r>
      <w:r w:rsidR="00176BBB" w:rsidRPr="00CE6222">
        <w:rPr>
          <w:lang w:val="en-AU"/>
        </w:rPr>
        <w:t>C</w:t>
      </w:r>
      <w:r w:rsidR="00324B40" w:rsidRPr="00CE6222">
        <w:rPr>
          <w:lang w:val="en-AU"/>
        </w:rPr>
        <w:t xml:space="preserve">ountry </w:t>
      </w:r>
      <w:r w:rsidR="00176BBB" w:rsidRPr="00CE6222">
        <w:rPr>
          <w:lang w:val="en-AU"/>
        </w:rPr>
        <w:t>C</w:t>
      </w:r>
      <w:r w:rsidR="00324B40" w:rsidRPr="00CE6222">
        <w:rPr>
          <w:lang w:val="en-AU"/>
        </w:rPr>
        <w:t>ommittees under the leadership of the coordinating NGO (this position can be rotated after 12 months).</w:t>
      </w:r>
      <w:r w:rsidR="008431BF" w:rsidRPr="00CE6222">
        <w:rPr>
          <w:lang w:val="en-AU"/>
        </w:rPr>
        <w:br/>
      </w:r>
      <w:r w:rsidR="008431BF" w:rsidRPr="00CE6222">
        <w:rPr>
          <w:lang w:val="en-AU"/>
        </w:rPr>
        <w:br/>
      </w:r>
      <w:r w:rsidR="00C53E29" w:rsidRPr="00CE6222">
        <w:rPr>
          <w:lang w:val="en-AU"/>
        </w:rPr>
        <w:t>Base funding of</w:t>
      </w:r>
      <w:r w:rsidR="006D6A38" w:rsidRPr="00CE6222">
        <w:rPr>
          <w:lang w:val="en-AU"/>
        </w:rPr>
        <w:t xml:space="preserve"> $</w:t>
      </w:r>
      <w:r w:rsidR="00510EF3" w:rsidRPr="00CE6222">
        <w:rPr>
          <w:lang w:val="en-AU"/>
        </w:rPr>
        <w:t xml:space="preserve">250,000 </w:t>
      </w:r>
      <w:r w:rsidR="007332E4" w:rsidRPr="00CE6222">
        <w:rPr>
          <w:lang w:val="en-AU"/>
        </w:rPr>
        <w:t xml:space="preserve">(total for the 4.5 years) </w:t>
      </w:r>
      <w:r w:rsidR="00510EF3" w:rsidRPr="00CE6222">
        <w:rPr>
          <w:lang w:val="en-AU"/>
        </w:rPr>
        <w:t>is allocated to eac</w:t>
      </w:r>
      <w:r w:rsidR="00C53E29" w:rsidRPr="00CE6222">
        <w:rPr>
          <w:lang w:val="en-AU"/>
        </w:rPr>
        <w:t xml:space="preserve">h of the five countries (total </w:t>
      </w:r>
      <w:r w:rsidR="006D6A38" w:rsidRPr="00CE6222">
        <w:rPr>
          <w:lang w:val="en-AU"/>
        </w:rPr>
        <w:t>$</w:t>
      </w:r>
      <w:r w:rsidR="00A028CB" w:rsidRPr="00CE6222">
        <w:rPr>
          <w:lang w:val="en-AU"/>
        </w:rPr>
        <w:t>1</w:t>
      </w:r>
      <w:r w:rsidR="00510EF3" w:rsidRPr="00CE6222">
        <w:rPr>
          <w:lang w:val="en-AU"/>
        </w:rPr>
        <w:t xml:space="preserve">.25m </w:t>
      </w:r>
      <w:r w:rsidR="00C53E29" w:rsidRPr="00CE6222">
        <w:rPr>
          <w:lang w:val="en-AU"/>
        </w:rPr>
        <w:t>over 4.5 years)</w:t>
      </w:r>
      <w:r w:rsidR="007332E4" w:rsidRPr="00CE6222">
        <w:rPr>
          <w:lang w:val="en-AU"/>
        </w:rPr>
        <w:t>. T</w:t>
      </w:r>
      <w:r w:rsidR="00C53E29" w:rsidRPr="00CE6222">
        <w:rPr>
          <w:lang w:val="en-AU"/>
        </w:rPr>
        <w:t xml:space="preserve">he remaining </w:t>
      </w:r>
      <w:r w:rsidR="006D6A38" w:rsidRPr="00CE6222">
        <w:rPr>
          <w:lang w:val="en-AU"/>
        </w:rPr>
        <w:t>$</w:t>
      </w:r>
      <w:r w:rsidR="00510EF3" w:rsidRPr="00CE6222">
        <w:rPr>
          <w:lang w:val="en-AU"/>
        </w:rPr>
        <w:t>1.15m</w:t>
      </w:r>
      <w:r w:rsidR="00C53E29" w:rsidRPr="00CE6222">
        <w:rPr>
          <w:lang w:val="en-AU"/>
        </w:rPr>
        <w:t xml:space="preserve"> will be </w:t>
      </w:r>
      <w:r w:rsidR="00510EF3" w:rsidRPr="00CE6222">
        <w:rPr>
          <w:lang w:val="en-AU"/>
        </w:rPr>
        <w:t>allocated annually</w:t>
      </w:r>
      <w:r w:rsidR="002A5568" w:rsidRPr="00CE6222">
        <w:rPr>
          <w:lang w:val="en-AU"/>
        </w:rPr>
        <w:t>,</w:t>
      </w:r>
      <w:r w:rsidR="00510EF3" w:rsidRPr="00CE6222">
        <w:rPr>
          <w:lang w:val="en-AU"/>
        </w:rPr>
        <w:t xml:space="preserve"> based on the funding </w:t>
      </w:r>
      <w:r w:rsidR="004B0799" w:rsidRPr="00CE6222">
        <w:rPr>
          <w:lang w:val="en-AU"/>
        </w:rPr>
        <w:t xml:space="preserve">level </w:t>
      </w:r>
      <w:r w:rsidR="00510EF3" w:rsidRPr="00CE6222">
        <w:rPr>
          <w:lang w:val="en-AU"/>
        </w:rPr>
        <w:t xml:space="preserve">through </w:t>
      </w:r>
      <w:r w:rsidR="004B0799" w:rsidRPr="00CE6222">
        <w:rPr>
          <w:lang w:val="en-AU"/>
        </w:rPr>
        <w:t xml:space="preserve">Mechanism 1 </w:t>
      </w:r>
      <w:r w:rsidR="00510EF3" w:rsidRPr="00CE6222">
        <w:rPr>
          <w:lang w:val="en-AU"/>
        </w:rPr>
        <w:t>multi-year funding</w:t>
      </w:r>
      <w:r w:rsidR="00C53E29" w:rsidRPr="00CE6222">
        <w:rPr>
          <w:lang w:val="en-AU"/>
        </w:rPr>
        <w:t xml:space="preserve"> </w:t>
      </w:r>
      <w:r w:rsidR="00280AA3" w:rsidRPr="00CE6222">
        <w:rPr>
          <w:lang w:val="en-AU"/>
        </w:rPr>
        <w:t>(See Annex 7</w:t>
      </w:r>
      <w:r w:rsidR="00C53E29" w:rsidRPr="00CE6222">
        <w:rPr>
          <w:lang w:val="en-AU"/>
        </w:rPr>
        <w:t xml:space="preserve"> for </w:t>
      </w:r>
      <w:r w:rsidR="00106244" w:rsidRPr="00CE6222">
        <w:rPr>
          <w:lang w:val="en-AU"/>
        </w:rPr>
        <w:t>Shared Services</w:t>
      </w:r>
      <w:r w:rsidR="00C53E29" w:rsidRPr="00CE6222">
        <w:rPr>
          <w:lang w:val="en-AU"/>
        </w:rPr>
        <w:t xml:space="preserve"> budget)</w:t>
      </w:r>
      <w:r w:rsidR="00510EF3" w:rsidRPr="00CE6222">
        <w:rPr>
          <w:lang w:val="en-AU"/>
        </w:rPr>
        <w:t xml:space="preserve">. Details of </w:t>
      </w:r>
      <w:r w:rsidR="00F83E02" w:rsidRPr="00CE6222">
        <w:rPr>
          <w:lang w:val="en-AU"/>
        </w:rPr>
        <w:t>shared s</w:t>
      </w:r>
      <w:r w:rsidR="00BF1A40" w:rsidRPr="00CE6222">
        <w:rPr>
          <w:lang w:val="en-AU"/>
        </w:rPr>
        <w:t>ervices</w:t>
      </w:r>
      <w:r w:rsidR="00510EF3" w:rsidRPr="00CE6222">
        <w:rPr>
          <w:lang w:val="en-AU"/>
        </w:rPr>
        <w:t xml:space="preserve"> are included in </w:t>
      </w:r>
      <w:r w:rsidR="004B0799" w:rsidRPr="00CE6222">
        <w:rPr>
          <w:lang w:val="en-AU"/>
        </w:rPr>
        <w:t>c</w:t>
      </w:r>
      <w:r w:rsidR="00510EF3" w:rsidRPr="00CE6222">
        <w:rPr>
          <w:lang w:val="en-AU"/>
        </w:rPr>
        <w:t xml:space="preserve">ountry </w:t>
      </w:r>
      <w:r w:rsidR="004B0799" w:rsidRPr="00CE6222">
        <w:rPr>
          <w:lang w:val="en-AU"/>
        </w:rPr>
        <w:t>p</w:t>
      </w:r>
      <w:r w:rsidR="00510EF3" w:rsidRPr="00CE6222">
        <w:rPr>
          <w:lang w:val="en-AU"/>
        </w:rPr>
        <w:t>lans</w:t>
      </w:r>
      <w:r w:rsidR="00C53E29" w:rsidRPr="00CE6222">
        <w:rPr>
          <w:lang w:val="en-AU"/>
        </w:rPr>
        <w:t>.</w:t>
      </w:r>
      <w:r w:rsidR="008431BF" w:rsidRPr="00CE6222">
        <w:rPr>
          <w:b/>
          <w:lang w:val="en-AU"/>
        </w:rPr>
        <w:br/>
      </w:r>
      <w:r w:rsidR="008431BF" w:rsidRPr="00CE6222">
        <w:rPr>
          <w:b/>
          <w:lang w:val="en-AU"/>
        </w:rPr>
        <w:br/>
      </w:r>
      <w:r w:rsidR="00EB6720" w:rsidRPr="00CE6222">
        <w:rPr>
          <w:b/>
          <w:lang w:val="en-AU"/>
        </w:rPr>
        <w:t>Timing</w:t>
      </w:r>
      <w:r w:rsidR="008431BF" w:rsidRPr="00CE6222">
        <w:rPr>
          <w:lang w:val="en-AU"/>
        </w:rPr>
        <w:br/>
      </w:r>
      <w:r w:rsidR="008431BF" w:rsidRPr="00CE6222">
        <w:rPr>
          <w:lang w:val="en-AU"/>
        </w:rPr>
        <w:br/>
      </w:r>
      <w:r w:rsidR="00EB6720" w:rsidRPr="00CE6222">
        <w:rPr>
          <w:lang w:val="en-AU"/>
        </w:rPr>
        <w:t xml:space="preserve">A detailed timeline is at Annex 8. </w:t>
      </w:r>
      <w:r w:rsidR="00F83E02" w:rsidRPr="00CE6222">
        <w:rPr>
          <w:lang w:val="en-AU"/>
        </w:rPr>
        <w:t>Below are the k</w:t>
      </w:r>
      <w:r w:rsidR="00EB6720" w:rsidRPr="00394C86">
        <w:rPr>
          <w:lang w:val="en-AU"/>
        </w:rPr>
        <w:t>ey dates for annual review, planning and approvals</w:t>
      </w:r>
      <w:r w:rsidR="00F83E02" w:rsidRPr="001A252A">
        <w:rPr>
          <w:lang w:val="en-AU"/>
        </w:rPr>
        <w:t>.</w:t>
      </w:r>
    </w:p>
    <w:tbl>
      <w:tblPr>
        <w:tblStyle w:val="TableGrid"/>
        <w:tblW w:w="0" w:type="auto"/>
        <w:tblLook w:val="04A0" w:firstRow="1" w:lastRow="0" w:firstColumn="1" w:lastColumn="0" w:noHBand="0" w:noVBand="1"/>
      </w:tblPr>
      <w:tblGrid>
        <w:gridCol w:w="1705"/>
        <w:gridCol w:w="7305"/>
      </w:tblGrid>
      <w:tr w:rsidR="00EB6720" w:rsidRPr="00394C86" w14:paraId="1B183D58" w14:textId="77777777" w:rsidTr="00F06972">
        <w:tc>
          <w:tcPr>
            <w:tcW w:w="1705" w:type="dxa"/>
          </w:tcPr>
          <w:p w14:paraId="3E4F405D" w14:textId="235DED68" w:rsidR="00EB6720" w:rsidRPr="00394C86" w:rsidRDefault="00EB6720" w:rsidP="00F06972">
            <w:pPr>
              <w:rPr>
                <w:lang w:val="en-AU"/>
              </w:rPr>
            </w:pPr>
            <w:r w:rsidRPr="00394C86">
              <w:rPr>
                <w:lang w:val="en-AU"/>
              </w:rPr>
              <w:t>September</w:t>
            </w:r>
            <w:r w:rsidR="00DA7CB9" w:rsidRPr="001A252A">
              <w:rPr>
                <w:lang w:val="en-AU"/>
              </w:rPr>
              <w:t xml:space="preserve"> /</w:t>
            </w:r>
            <w:r w:rsidRPr="00394C86">
              <w:rPr>
                <w:lang w:val="en-AU"/>
              </w:rPr>
              <w:t xml:space="preserve"> October 2018</w:t>
            </w:r>
          </w:p>
        </w:tc>
        <w:tc>
          <w:tcPr>
            <w:tcW w:w="7305" w:type="dxa"/>
          </w:tcPr>
          <w:p w14:paraId="0165025C" w14:textId="619A0A2C" w:rsidR="00EB6720" w:rsidRPr="00394C86" w:rsidRDefault="00A67A2F" w:rsidP="00FA2683">
            <w:pPr>
              <w:rPr>
                <w:lang w:val="en-AU"/>
              </w:rPr>
            </w:pPr>
            <w:r w:rsidRPr="00394C86">
              <w:rPr>
                <w:lang w:val="en-AU"/>
              </w:rPr>
              <w:t xml:space="preserve">Annual country review </w:t>
            </w:r>
            <w:r w:rsidR="00EB6720" w:rsidRPr="00394C86">
              <w:rPr>
                <w:lang w:val="en-AU"/>
              </w:rPr>
              <w:t xml:space="preserve">and planning </w:t>
            </w:r>
            <w:r w:rsidR="00FA2683" w:rsidRPr="00394C86">
              <w:rPr>
                <w:lang w:val="en-AU"/>
              </w:rPr>
              <w:t>forum</w:t>
            </w:r>
          </w:p>
        </w:tc>
      </w:tr>
      <w:tr w:rsidR="00EB6720" w:rsidRPr="00394C86" w14:paraId="6D782BAD" w14:textId="77777777" w:rsidTr="00F06972">
        <w:tc>
          <w:tcPr>
            <w:tcW w:w="1705" w:type="dxa"/>
          </w:tcPr>
          <w:p w14:paraId="0BF61C1C" w14:textId="40C7B491" w:rsidR="00EB6720" w:rsidRPr="001A252A" w:rsidRDefault="00EB6720" w:rsidP="00F06972">
            <w:pPr>
              <w:rPr>
                <w:lang w:val="en-AU"/>
              </w:rPr>
            </w:pPr>
            <w:r w:rsidRPr="001A252A">
              <w:rPr>
                <w:lang w:val="en-AU"/>
              </w:rPr>
              <w:t>31 October 2018</w:t>
            </w:r>
          </w:p>
        </w:tc>
        <w:tc>
          <w:tcPr>
            <w:tcW w:w="7305" w:type="dxa"/>
          </w:tcPr>
          <w:p w14:paraId="6CE6A2FD" w14:textId="65696E3E" w:rsidR="00EB6720" w:rsidRPr="001A252A" w:rsidRDefault="00EB6720" w:rsidP="00F06972">
            <w:pPr>
              <w:rPr>
                <w:lang w:val="en-AU"/>
              </w:rPr>
            </w:pPr>
            <w:r w:rsidRPr="001A252A">
              <w:rPr>
                <w:lang w:val="en-AU"/>
              </w:rPr>
              <w:t>AHP NGO Annual Activity Report</w:t>
            </w:r>
            <w:r w:rsidR="00FA2683" w:rsidRPr="001A252A">
              <w:rPr>
                <w:lang w:val="en-AU"/>
              </w:rPr>
              <w:t>s</w:t>
            </w:r>
            <w:r w:rsidRPr="001A252A">
              <w:rPr>
                <w:lang w:val="en-AU"/>
              </w:rPr>
              <w:t xml:space="preserve"> </w:t>
            </w:r>
            <w:r w:rsidR="00A028CB" w:rsidRPr="001A252A">
              <w:rPr>
                <w:lang w:val="en-AU"/>
              </w:rPr>
              <w:t>d</w:t>
            </w:r>
            <w:r w:rsidRPr="001A252A">
              <w:rPr>
                <w:lang w:val="en-AU"/>
              </w:rPr>
              <w:t>ue</w:t>
            </w:r>
          </w:p>
          <w:p w14:paraId="524ABA50" w14:textId="485D9B33" w:rsidR="00EB6720" w:rsidRPr="001A252A" w:rsidRDefault="009D0B2B" w:rsidP="00F06972">
            <w:pPr>
              <w:rPr>
                <w:lang w:val="en-AU"/>
              </w:rPr>
            </w:pPr>
            <w:r w:rsidRPr="001A252A">
              <w:rPr>
                <w:lang w:val="en-AU"/>
              </w:rPr>
              <w:t>Country Committee</w:t>
            </w:r>
            <w:r w:rsidR="00EB6720" w:rsidRPr="001A252A">
              <w:rPr>
                <w:lang w:val="en-AU"/>
              </w:rPr>
              <w:t xml:space="preserve"> </w:t>
            </w:r>
            <w:r w:rsidR="00BF1A40" w:rsidRPr="001A252A">
              <w:rPr>
                <w:lang w:val="en-AU"/>
              </w:rPr>
              <w:t>Shared Services</w:t>
            </w:r>
            <w:r w:rsidR="00EB6720" w:rsidRPr="001A252A">
              <w:rPr>
                <w:lang w:val="en-AU"/>
              </w:rPr>
              <w:t xml:space="preserve"> Report</w:t>
            </w:r>
            <w:r w:rsidR="00FA2683" w:rsidRPr="001A252A">
              <w:rPr>
                <w:lang w:val="en-AU"/>
              </w:rPr>
              <w:t>s</w:t>
            </w:r>
            <w:r w:rsidR="00EB6720" w:rsidRPr="001A252A">
              <w:rPr>
                <w:lang w:val="en-AU"/>
              </w:rPr>
              <w:t xml:space="preserve"> due  </w:t>
            </w:r>
          </w:p>
          <w:p w14:paraId="4F263662" w14:textId="4A17D755" w:rsidR="00EB6720" w:rsidRPr="001A252A" w:rsidRDefault="00FA2683" w:rsidP="00F06972">
            <w:pPr>
              <w:rPr>
                <w:lang w:val="en-AU"/>
              </w:rPr>
            </w:pPr>
            <w:r w:rsidRPr="001A252A">
              <w:rPr>
                <w:lang w:val="en-AU"/>
              </w:rPr>
              <w:t xml:space="preserve">AHP NGO Annual Activity Implementation Plans </w:t>
            </w:r>
            <w:r w:rsidR="002A5568" w:rsidRPr="001A252A">
              <w:rPr>
                <w:lang w:val="en-AU"/>
              </w:rPr>
              <w:t>d</w:t>
            </w:r>
            <w:r w:rsidRPr="001A252A">
              <w:rPr>
                <w:lang w:val="en-AU"/>
              </w:rPr>
              <w:t>ue</w:t>
            </w:r>
          </w:p>
          <w:p w14:paraId="7BA1138E" w14:textId="4DB3AE97" w:rsidR="00FA2683" w:rsidRPr="001A252A" w:rsidRDefault="009D0B2B" w:rsidP="00F06972">
            <w:pPr>
              <w:rPr>
                <w:lang w:val="en-AU"/>
              </w:rPr>
            </w:pPr>
            <w:r w:rsidRPr="001A252A">
              <w:rPr>
                <w:lang w:val="en-AU"/>
              </w:rPr>
              <w:t>Country Committee</w:t>
            </w:r>
            <w:r w:rsidR="00FA2683" w:rsidRPr="001A252A">
              <w:rPr>
                <w:lang w:val="en-AU"/>
              </w:rPr>
              <w:t xml:space="preserve"> </w:t>
            </w:r>
            <w:r w:rsidR="00BF1A40" w:rsidRPr="001A252A">
              <w:rPr>
                <w:lang w:val="en-AU"/>
              </w:rPr>
              <w:t>Shared Services</w:t>
            </w:r>
            <w:r w:rsidR="00FA2683" w:rsidRPr="001A252A">
              <w:rPr>
                <w:lang w:val="en-AU"/>
              </w:rPr>
              <w:t xml:space="preserve"> Proposals </w:t>
            </w:r>
            <w:r w:rsidR="002A5568" w:rsidRPr="001A252A">
              <w:rPr>
                <w:lang w:val="en-AU"/>
              </w:rPr>
              <w:t>d</w:t>
            </w:r>
            <w:r w:rsidR="00FA2683" w:rsidRPr="001A252A">
              <w:rPr>
                <w:lang w:val="en-AU"/>
              </w:rPr>
              <w:t>ue</w:t>
            </w:r>
          </w:p>
        </w:tc>
      </w:tr>
      <w:tr w:rsidR="00EB6720" w:rsidRPr="00394C86" w14:paraId="54D909F2" w14:textId="77777777" w:rsidTr="00F06972">
        <w:tc>
          <w:tcPr>
            <w:tcW w:w="1705" w:type="dxa"/>
          </w:tcPr>
          <w:p w14:paraId="36308276" w14:textId="4EC2E826" w:rsidR="00EB6720" w:rsidRPr="001A252A" w:rsidRDefault="00FA2683" w:rsidP="00FA2683">
            <w:pPr>
              <w:rPr>
                <w:lang w:val="en-AU"/>
              </w:rPr>
            </w:pPr>
            <w:r w:rsidRPr="001A252A">
              <w:rPr>
                <w:lang w:val="en-AU"/>
              </w:rPr>
              <w:t>November</w:t>
            </w:r>
            <w:r w:rsidR="002A5568" w:rsidRPr="001A252A">
              <w:rPr>
                <w:lang w:val="en-AU"/>
              </w:rPr>
              <w:t xml:space="preserve"> 2018</w:t>
            </w:r>
          </w:p>
        </w:tc>
        <w:tc>
          <w:tcPr>
            <w:tcW w:w="7305" w:type="dxa"/>
          </w:tcPr>
          <w:p w14:paraId="44E49C03" w14:textId="7F587EFB" w:rsidR="00EB6720" w:rsidRPr="001A252A" w:rsidRDefault="00FA2683" w:rsidP="00FA2683">
            <w:pPr>
              <w:rPr>
                <w:lang w:val="en-AU"/>
              </w:rPr>
            </w:pPr>
            <w:r w:rsidRPr="001A252A">
              <w:rPr>
                <w:lang w:val="en-AU"/>
              </w:rPr>
              <w:t>DFAT HRS and Posts review plans. DFAT HRS approves plans and budgets.</w:t>
            </w:r>
          </w:p>
          <w:p w14:paraId="7E09B105" w14:textId="38E6B4DC" w:rsidR="00FA2683" w:rsidRPr="001A252A" w:rsidRDefault="00FA2683" w:rsidP="00FA2683">
            <w:pPr>
              <w:rPr>
                <w:lang w:val="en-AU"/>
              </w:rPr>
            </w:pPr>
            <w:r w:rsidRPr="001A252A">
              <w:rPr>
                <w:lang w:val="en-AU"/>
              </w:rPr>
              <w:t xml:space="preserve">Country </w:t>
            </w:r>
            <w:r w:rsidR="00DA7CB9" w:rsidRPr="001A252A">
              <w:rPr>
                <w:lang w:val="en-AU"/>
              </w:rPr>
              <w:t>p</w:t>
            </w:r>
            <w:r w:rsidRPr="001A252A">
              <w:rPr>
                <w:lang w:val="en-AU"/>
              </w:rPr>
              <w:t xml:space="preserve">lans updated by AHP SU in consultation with </w:t>
            </w:r>
            <w:r w:rsidR="009D0B2B" w:rsidRPr="001A252A">
              <w:rPr>
                <w:lang w:val="en-AU"/>
              </w:rPr>
              <w:t>Country Committee</w:t>
            </w:r>
            <w:r w:rsidRPr="001A252A">
              <w:rPr>
                <w:lang w:val="en-AU"/>
              </w:rPr>
              <w:t>s</w:t>
            </w:r>
          </w:p>
        </w:tc>
      </w:tr>
      <w:tr w:rsidR="00257CAB" w:rsidRPr="00394C86" w14:paraId="5D09602A" w14:textId="77777777" w:rsidTr="00FA2683">
        <w:trPr>
          <w:trHeight w:val="381"/>
        </w:trPr>
        <w:tc>
          <w:tcPr>
            <w:tcW w:w="1705" w:type="dxa"/>
          </w:tcPr>
          <w:p w14:paraId="255F6FF1" w14:textId="7B42EF21" w:rsidR="00EB6720" w:rsidRPr="001A252A" w:rsidRDefault="00FA2683" w:rsidP="00F06972">
            <w:pPr>
              <w:rPr>
                <w:lang w:val="en-AU"/>
              </w:rPr>
            </w:pPr>
            <w:r w:rsidRPr="001A252A">
              <w:rPr>
                <w:lang w:val="en-AU"/>
              </w:rPr>
              <w:t>December</w:t>
            </w:r>
            <w:r w:rsidR="002A5568" w:rsidRPr="001A252A">
              <w:rPr>
                <w:lang w:val="en-AU"/>
              </w:rPr>
              <w:t xml:space="preserve"> 2018</w:t>
            </w:r>
          </w:p>
        </w:tc>
        <w:tc>
          <w:tcPr>
            <w:tcW w:w="7305" w:type="dxa"/>
          </w:tcPr>
          <w:p w14:paraId="59564106" w14:textId="05B52F19" w:rsidR="00EB6720" w:rsidRPr="001A252A" w:rsidRDefault="00FA2683" w:rsidP="00BF1A40">
            <w:pPr>
              <w:rPr>
                <w:lang w:val="en-AU"/>
              </w:rPr>
            </w:pPr>
            <w:r w:rsidRPr="001A252A">
              <w:rPr>
                <w:lang w:val="en-AU"/>
              </w:rPr>
              <w:t xml:space="preserve">Contracting for </w:t>
            </w:r>
            <w:r w:rsidR="002A5568" w:rsidRPr="001A252A">
              <w:rPr>
                <w:lang w:val="en-AU"/>
              </w:rPr>
              <w:t>2019</w:t>
            </w:r>
          </w:p>
        </w:tc>
      </w:tr>
    </w:tbl>
    <w:p w14:paraId="0D6EFD93" w14:textId="77777777" w:rsidR="004360F8" w:rsidRPr="00394C86" w:rsidRDefault="004360F8" w:rsidP="00110706">
      <w:pPr>
        <w:rPr>
          <w:lang w:val="en-AU"/>
        </w:rPr>
      </w:pPr>
    </w:p>
    <w:p w14:paraId="41C9898F" w14:textId="77777777" w:rsidR="00D15D01" w:rsidRPr="00394C86" w:rsidRDefault="00D15D01" w:rsidP="00110706">
      <w:pPr>
        <w:pStyle w:val="Heading7"/>
        <w:rPr>
          <w:rFonts w:ascii="Calibri" w:hAnsi="Calibri" w:cs="Calibri"/>
          <w:lang w:val="en-AU"/>
        </w:rPr>
      </w:pPr>
      <w:r w:rsidRPr="00394C86">
        <w:rPr>
          <w:rFonts w:ascii="Calibri" w:hAnsi="Calibri" w:cs="Calibri"/>
          <w:lang w:val="en-AU"/>
        </w:rPr>
        <w:t>Mechanism 2 the Performance and Partnerships Fund</w:t>
      </w:r>
    </w:p>
    <w:p w14:paraId="6BAF0DFC" w14:textId="36F3A16F" w:rsidR="00D15D01" w:rsidRPr="00394C86" w:rsidRDefault="00D15D01" w:rsidP="00110706">
      <w:pPr>
        <w:rPr>
          <w:lang w:val="en-AU"/>
        </w:rPr>
      </w:pPr>
      <w:r w:rsidRPr="00394C86">
        <w:rPr>
          <w:lang w:val="en-AU"/>
        </w:rPr>
        <w:t xml:space="preserve">The Performance and Partnerships Fund (PPF) aims to support </w:t>
      </w:r>
      <w:r w:rsidR="002A5568" w:rsidRPr="00394C86">
        <w:rPr>
          <w:lang w:val="en-AU"/>
        </w:rPr>
        <w:t xml:space="preserve">the </w:t>
      </w:r>
      <w:r w:rsidRPr="00394C86">
        <w:rPr>
          <w:lang w:val="en-AU"/>
        </w:rPr>
        <w:t>scale</w:t>
      </w:r>
      <w:r w:rsidR="002A5568" w:rsidRPr="00394C86">
        <w:rPr>
          <w:lang w:val="en-AU"/>
        </w:rPr>
        <w:t>-</w:t>
      </w:r>
      <w:r w:rsidRPr="00394C86">
        <w:rPr>
          <w:lang w:val="en-AU"/>
        </w:rPr>
        <w:t>up of good practice, innovation, and collaboration between NGOs. The PPF will have a total budget of</w:t>
      </w:r>
      <w:r w:rsidR="004360F8" w:rsidRPr="00394C86">
        <w:rPr>
          <w:lang w:val="en-AU"/>
        </w:rPr>
        <w:t xml:space="preserve"> </w:t>
      </w:r>
      <w:r w:rsidR="006D6A38" w:rsidRPr="00394C86">
        <w:rPr>
          <w:lang w:val="en-AU"/>
        </w:rPr>
        <w:t>$</w:t>
      </w:r>
      <w:r w:rsidR="004E63C7" w:rsidRPr="00394C86">
        <w:rPr>
          <w:lang w:val="en-AU"/>
        </w:rPr>
        <w:t>8.</w:t>
      </w:r>
      <w:r w:rsidR="004414C0" w:rsidRPr="00394C86">
        <w:rPr>
          <w:lang w:val="en-AU"/>
        </w:rPr>
        <w:t>5m</w:t>
      </w:r>
      <w:r w:rsidRPr="00394C86">
        <w:rPr>
          <w:lang w:val="en-AU"/>
        </w:rPr>
        <w:t xml:space="preserve"> over two rounds in 2019 and 2020.  </w:t>
      </w:r>
    </w:p>
    <w:p w14:paraId="35B870FD" w14:textId="1C3B914B" w:rsidR="00D15D01" w:rsidRPr="00394C86" w:rsidRDefault="00D15D01" w:rsidP="00110706">
      <w:pPr>
        <w:rPr>
          <w:lang w:val="en-AU"/>
        </w:rPr>
      </w:pPr>
      <w:r w:rsidRPr="00394C86">
        <w:rPr>
          <w:lang w:val="en-AU"/>
        </w:rPr>
        <w:t>The objectives of the PPF</w:t>
      </w:r>
      <w:r w:rsidR="00B3014C" w:rsidRPr="001A252A">
        <w:rPr>
          <w:lang w:val="en-AU"/>
        </w:rPr>
        <w:t xml:space="preserve"> are to</w:t>
      </w:r>
      <w:r w:rsidRPr="00394C86">
        <w:rPr>
          <w:lang w:val="en-AU"/>
        </w:rPr>
        <w:t xml:space="preserve">: </w:t>
      </w:r>
    </w:p>
    <w:p w14:paraId="7FD357DF" w14:textId="5449B402" w:rsidR="00D15D01" w:rsidRPr="00394C86" w:rsidRDefault="00D15D01" w:rsidP="006428F6">
      <w:pPr>
        <w:pStyle w:val="ListParagraph"/>
        <w:numPr>
          <w:ilvl w:val="0"/>
          <w:numId w:val="11"/>
        </w:numPr>
      </w:pPr>
      <w:r w:rsidRPr="00394C86">
        <w:t>Encourage AHP NGOs and their local partners to scale up successful approaches to disaster preparedness, risk reduction and localisation</w:t>
      </w:r>
      <w:r w:rsidR="00C36B84" w:rsidRPr="00394C86">
        <w:t>, including reinforcing and building on country</w:t>
      </w:r>
      <w:r w:rsidR="00257CAB" w:rsidRPr="00394C86">
        <w:t>-</w:t>
      </w:r>
      <w:r w:rsidR="00C36B84" w:rsidRPr="00394C86">
        <w:t>based coordination and collaboration.</w:t>
      </w:r>
    </w:p>
    <w:p w14:paraId="69DF0E87" w14:textId="46DC8803" w:rsidR="00D15D01" w:rsidRPr="00394C86" w:rsidRDefault="00D15D01" w:rsidP="006428F6">
      <w:pPr>
        <w:pStyle w:val="ListParagraph"/>
        <w:numPr>
          <w:ilvl w:val="0"/>
          <w:numId w:val="11"/>
        </w:numPr>
      </w:pPr>
      <w:r w:rsidRPr="00394C86">
        <w:t>Ensure a rigorous evidence base on the effectiveness of the approaches and disseminate evidence of the lessons and benefits of these approaches widely.</w:t>
      </w:r>
    </w:p>
    <w:p w14:paraId="2D3D4F73" w14:textId="77777777" w:rsidR="00D15D01" w:rsidRPr="00394C86" w:rsidRDefault="00D15D01" w:rsidP="006428F6">
      <w:pPr>
        <w:pStyle w:val="ListParagraph"/>
        <w:numPr>
          <w:ilvl w:val="0"/>
          <w:numId w:val="11"/>
        </w:numPr>
      </w:pPr>
      <w:r w:rsidRPr="00394C86">
        <w:lastRenderedPageBreak/>
        <w:t>Facilitate collaboration, learning and improvement across the AHP NGO consortia.</w:t>
      </w:r>
    </w:p>
    <w:p w14:paraId="2A129CBB" w14:textId="16D8A93A" w:rsidR="00235410" w:rsidRPr="00394C86" w:rsidRDefault="00D15D01" w:rsidP="00235410">
      <w:pPr>
        <w:pStyle w:val="ListParagraph"/>
        <w:numPr>
          <w:ilvl w:val="0"/>
          <w:numId w:val="11"/>
        </w:numPr>
      </w:pPr>
      <w:r w:rsidRPr="00394C86">
        <w:t xml:space="preserve">Respond to emerging priorities for the AHP partnership in disaster preparedness and risk reduction in the Pacific and </w:t>
      </w:r>
      <w:r w:rsidR="00F3172F" w:rsidRPr="00394C86">
        <w:t>Timor-Leste</w:t>
      </w:r>
      <w:r w:rsidRPr="00394C86">
        <w:t>.</w:t>
      </w:r>
    </w:p>
    <w:p w14:paraId="2912126C" w14:textId="71313E17" w:rsidR="00D15D01" w:rsidRPr="00394C86" w:rsidRDefault="00D15D01" w:rsidP="00110706">
      <w:pPr>
        <w:rPr>
          <w:lang w:val="en-AU"/>
        </w:rPr>
      </w:pPr>
      <w:r w:rsidRPr="00394C86">
        <w:rPr>
          <w:b/>
          <w:lang w:val="en-AU"/>
        </w:rPr>
        <w:t>Funding amounts, rounds and eligibility</w:t>
      </w:r>
      <w:r w:rsidR="008431BF" w:rsidRPr="001A252A">
        <w:rPr>
          <w:lang w:val="en-AU"/>
        </w:rPr>
        <w:br/>
      </w:r>
      <w:r w:rsidR="008431BF" w:rsidRPr="001A252A">
        <w:rPr>
          <w:lang w:val="en-AU"/>
        </w:rPr>
        <w:br/>
      </w:r>
      <w:r w:rsidRPr="00394C86">
        <w:rPr>
          <w:lang w:val="en-AU"/>
        </w:rPr>
        <w:t>A total of $</w:t>
      </w:r>
      <w:r w:rsidR="004E63C7" w:rsidRPr="00394C86">
        <w:rPr>
          <w:lang w:val="en-AU"/>
        </w:rPr>
        <w:t>8.</w:t>
      </w:r>
      <w:r w:rsidR="004414C0" w:rsidRPr="00394C86">
        <w:rPr>
          <w:lang w:val="en-AU"/>
        </w:rPr>
        <w:t>5</w:t>
      </w:r>
      <w:r w:rsidRPr="00394C86">
        <w:rPr>
          <w:lang w:val="en-AU"/>
        </w:rPr>
        <w:t xml:space="preserve">m will be granted through two rounds of funding in </w:t>
      </w:r>
      <w:r w:rsidR="00257CAB" w:rsidRPr="00394C86">
        <w:rPr>
          <w:lang w:val="en-AU"/>
        </w:rPr>
        <w:t>the first quarter</w:t>
      </w:r>
      <w:r w:rsidRPr="00394C86">
        <w:rPr>
          <w:lang w:val="en-AU"/>
        </w:rPr>
        <w:t xml:space="preserve"> of 2019 and 2020. </w:t>
      </w:r>
      <w:bookmarkStart w:id="26" w:name="_GoBack"/>
      <w:bookmarkEnd w:id="26"/>
      <w:r w:rsidR="00DC5DE9" w:rsidRPr="00394C86">
        <w:rPr>
          <w:lang w:val="en-AU"/>
        </w:rPr>
        <w:t xml:space="preserve">To support </w:t>
      </w:r>
      <w:r w:rsidR="00257CAB" w:rsidRPr="00394C86">
        <w:rPr>
          <w:lang w:val="en-AU"/>
        </w:rPr>
        <w:t xml:space="preserve">the </w:t>
      </w:r>
      <w:r w:rsidR="00DC5DE9" w:rsidRPr="00394C86">
        <w:rPr>
          <w:lang w:val="en-AU"/>
        </w:rPr>
        <w:t>scale</w:t>
      </w:r>
      <w:r w:rsidR="00257CAB" w:rsidRPr="00394C86">
        <w:rPr>
          <w:lang w:val="en-AU"/>
        </w:rPr>
        <w:t>-</w:t>
      </w:r>
      <w:r w:rsidR="00DC5DE9" w:rsidRPr="00394C86">
        <w:rPr>
          <w:lang w:val="en-AU"/>
        </w:rPr>
        <w:t>up of successful approaches</w:t>
      </w:r>
      <w:r w:rsidR="00257CAB" w:rsidRPr="00394C86">
        <w:rPr>
          <w:lang w:val="en-AU"/>
        </w:rPr>
        <w:t>,</w:t>
      </w:r>
      <w:r w:rsidR="00DC5DE9" w:rsidRPr="00394C86">
        <w:rPr>
          <w:lang w:val="en-AU"/>
        </w:rPr>
        <w:t xml:space="preserve"> </w:t>
      </w:r>
      <w:r w:rsidR="00235410" w:rsidRPr="001A252A">
        <w:rPr>
          <w:lang w:val="en-AU"/>
        </w:rPr>
        <w:t>all of round one funding and at least 50</w:t>
      </w:r>
      <w:r w:rsidR="00235410" w:rsidRPr="00394C86">
        <w:rPr>
          <w:lang w:val="en-AU"/>
        </w:rPr>
        <w:t xml:space="preserve"> </w:t>
      </w:r>
      <w:r w:rsidR="00257CAB" w:rsidRPr="00394C86">
        <w:rPr>
          <w:lang w:val="en-AU"/>
        </w:rPr>
        <w:t>per cent</w:t>
      </w:r>
      <w:r w:rsidR="00DC5DE9" w:rsidRPr="00394C86">
        <w:rPr>
          <w:lang w:val="en-AU"/>
        </w:rPr>
        <w:t xml:space="preserve"> of funding </w:t>
      </w:r>
      <w:r w:rsidR="00235410" w:rsidRPr="001A252A">
        <w:rPr>
          <w:lang w:val="en-AU"/>
        </w:rPr>
        <w:t xml:space="preserve">for round 2 will be for the focus countries. Round </w:t>
      </w:r>
      <w:r w:rsidR="00B20D40">
        <w:rPr>
          <w:lang w:val="en-AU"/>
        </w:rPr>
        <w:t>2</w:t>
      </w:r>
      <w:r w:rsidR="00235410" w:rsidRPr="001A252A">
        <w:rPr>
          <w:lang w:val="en-AU"/>
        </w:rPr>
        <w:t xml:space="preserve"> will provide an opportunity for successful programs to have a small trial in new countries where Disaster READY may look to extend in the second phase (2022+).</w:t>
      </w:r>
      <w:r w:rsidR="008431BF" w:rsidRPr="001A252A">
        <w:rPr>
          <w:lang w:val="en-AU"/>
        </w:rPr>
        <w:br/>
      </w:r>
      <w:r w:rsidR="008431BF" w:rsidRPr="001A252A">
        <w:rPr>
          <w:lang w:val="en-AU"/>
        </w:rPr>
        <w:br/>
      </w:r>
      <w:r w:rsidRPr="00394C86">
        <w:rPr>
          <w:lang w:val="en-AU"/>
        </w:rPr>
        <w:t xml:space="preserve">Grants </w:t>
      </w:r>
      <w:r w:rsidR="00257CAB" w:rsidRPr="00394C86">
        <w:rPr>
          <w:lang w:val="en-AU"/>
        </w:rPr>
        <w:t xml:space="preserve">will </w:t>
      </w:r>
      <w:r w:rsidRPr="00394C86">
        <w:rPr>
          <w:lang w:val="en-AU"/>
        </w:rPr>
        <w:t xml:space="preserve">be awarded for a maximum of up to two and half years in </w:t>
      </w:r>
      <w:r w:rsidR="00257CAB" w:rsidRPr="00394C86">
        <w:rPr>
          <w:lang w:val="en-AU"/>
        </w:rPr>
        <w:t>R</w:t>
      </w:r>
      <w:r w:rsidRPr="00394C86">
        <w:rPr>
          <w:lang w:val="en-AU"/>
        </w:rPr>
        <w:t xml:space="preserve">ound </w:t>
      </w:r>
      <w:r w:rsidR="00257CAB" w:rsidRPr="001A252A">
        <w:rPr>
          <w:lang w:val="en-AU"/>
        </w:rPr>
        <w:t>1</w:t>
      </w:r>
      <w:r w:rsidRPr="001A252A">
        <w:rPr>
          <w:lang w:val="en-AU"/>
        </w:rPr>
        <w:t xml:space="preserve"> and two years</w:t>
      </w:r>
      <w:r w:rsidR="002C6A84" w:rsidRPr="001A252A">
        <w:rPr>
          <w:lang w:val="en-AU"/>
        </w:rPr>
        <w:t xml:space="preserve"> and</w:t>
      </w:r>
      <w:r w:rsidRPr="001A252A">
        <w:rPr>
          <w:lang w:val="en-AU"/>
        </w:rPr>
        <w:t xml:space="preserve"> five months in </w:t>
      </w:r>
      <w:r w:rsidR="00257CAB" w:rsidRPr="001A252A">
        <w:rPr>
          <w:lang w:val="en-AU"/>
        </w:rPr>
        <w:t>R</w:t>
      </w:r>
      <w:r w:rsidRPr="001A252A">
        <w:rPr>
          <w:lang w:val="en-AU"/>
        </w:rPr>
        <w:t xml:space="preserve">ound </w:t>
      </w:r>
      <w:r w:rsidR="00257CAB" w:rsidRPr="001A252A">
        <w:rPr>
          <w:lang w:val="en-AU"/>
        </w:rPr>
        <w:t>2</w:t>
      </w:r>
      <w:r w:rsidRPr="00394C86">
        <w:rPr>
          <w:lang w:val="en-AU"/>
        </w:rPr>
        <w:t xml:space="preserve">. </w:t>
      </w:r>
      <w:r w:rsidR="00235410" w:rsidRPr="001A252A">
        <w:rPr>
          <w:lang w:val="en-AU"/>
        </w:rPr>
        <w:t xml:space="preserve">Proposals can be for multiple countries or a single country. Proposals must be </w:t>
      </w:r>
      <w:r w:rsidRPr="00394C86">
        <w:rPr>
          <w:lang w:val="en-AU"/>
        </w:rPr>
        <w:t>submitted through the A</w:t>
      </w:r>
      <w:r w:rsidR="004C5DE2" w:rsidRPr="00394C86">
        <w:rPr>
          <w:lang w:val="en-AU"/>
        </w:rPr>
        <w:t>HP NGO</w:t>
      </w:r>
      <w:r w:rsidRPr="00394C86">
        <w:rPr>
          <w:lang w:val="en-AU"/>
        </w:rPr>
        <w:t xml:space="preserve"> consortia leads</w:t>
      </w:r>
      <w:r w:rsidR="004C5DE2" w:rsidRPr="00394C86">
        <w:rPr>
          <w:lang w:val="en-AU"/>
        </w:rPr>
        <w:t xml:space="preserve"> for contracting purposes</w:t>
      </w:r>
      <w:r w:rsidRPr="00394C86">
        <w:rPr>
          <w:lang w:val="en-AU"/>
        </w:rPr>
        <w:t>. Opportunities for joint work with the Red Cross Emerging Priorities Fund could also be explored.</w:t>
      </w:r>
      <w:r w:rsidR="008431BF" w:rsidRPr="001659D9">
        <w:rPr>
          <w:b/>
          <w:lang w:val="en-AU"/>
        </w:rPr>
        <w:br/>
      </w:r>
      <w:r w:rsidR="008431BF" w:rsidRPr="001659D9">
        <w:rPr>
          <w:b/>
          <w:lang w:val="en-AU"/>
        </w:rPr>
        <w:br/>
      </w:r>
      <w:r w:rsidRPr="00394C86">
        <w:rPr>
          <w:b/>
          <w:lang w:val="en-AU"/>
        </w:rPr>
        <w:t>PPF Selection Criteria</w:t>
      </w:r>
      <w:r w:rsidR="008431BF" w:rsidRPr="001659D9">
        <w:rPr>
          <w:lang w:val="en-AU"/>
        </w:rPr>
        <w:br/>
      </w:r>
      <w:r w:rsidR="008431BF" w:rsidRPr="001659D9">
        <w:rPr>
          <w:lang w:val="en-AU"/>
        </w:rPr>
        <w:br/>
      </w:r>
      <w:r w:rsidRPr="00394C86">
        <w:rPr>
          <w:lang w:val="en-AU"/>
        </w:rPr>
        <w:t>Detailed selection criteria will be developed for each round</w:t>
      </w:r>
      <w:r w:rsidR="003406B6" w:rsidRPr="00394C86">
        <w:rPr>
          <w:lang w:val="en-AU"/>
        </w:rPr>
        <w:t xml:space="preserve"> in consultation with the Steering Committee</w:t>
      </w:r>
      <w:r w:rsidR="00257CAB" w:rsidRPr="00394C86">
        <w:rPr>
          <w:lang w:val="en-AU"/>
        </w:rPr>
        <w:t>.</w:t>
      </w:r>
      <w:r w:rsidRPr="00394C86">
        <w:rPr>
          <w:lang w:val="en-AU"/>
        </w:rPr>
        <w:t xml:space="preserve"> </w:t>
      </w:r>
      <w:r w:rsidR="00257CAB" w:rsidRPr="00394C86">
        <w:rPr>
          <w:lang w:val="en-AU"/>
        </w:rPr>
        <w:t>L</w:t>
      </w:r>
      <w:r w:rsidRPr="00394C86">
        <w:rPr>
          <w:lang w:val="en-AU"/>
        </w:rPr>
        <w:t xml:space="preserve">ikely criteria include: </w:t>
      </w:r>
    </w:p>
    <w:p w14:paraId="355979E6" w14:textId="77777777" w:rsidR="00D15D01" w:rsidRPr="00394C86" w:rsidRDefault="00D15D01" w:rsidP="006428F6">
      <w:pPr>
        <w:pStyle w:val="ListParagraph"/>
        <w:numPr>
          <w:ilvl w:val="0"/>
          <w:numId w:val="12"/>
        </w:numPr>
      </w:pPr>
      <w:r w:rsidRPr="00394C86">
        <w:t>Contribution to the Disaster READY purpose and objectives</w:t>
      </w:r>
    </w:p>
    <w:p w14:paraId="6581609C" w14:textId="36B4FDA2" w:rsidR="003406B6" w:rsidRPr="00394C86" w:rsidRDefault="003406B6" w:rsidP="006428F6">
      <w:pPr>
        <w:pStyle w:val="ListParagraph"/>
        <w:numPr>
          <w:ilvl w:val="0"/>
          <w:numId w:val="12"/>
        </w:numPr>
      </w:pPr>
      <w:r w:rsidRPr="00394C86">
        <w:t xml:space="preserve">Evidence of </w:t>
      </w:r>
      <w:r w:rsidR="006A6981" w:rsidRPr="00394C86">
        <w:t xml:space="preserve">successful </w:t>
      </w:r>
      <w:r w:rsidRPr="00394C86">
        <w:t xml:space="preserve">past performance </w:t>
      </w:r>
      <w:r w:rsidR="006A6981" w:rsidRPr="00394C86">
        <w:t>for scale</w:t>
      </w:r>
      <w:r w:rsidR="00257CAB" w:rsidRPr="00394C86">
        <w:t>-</w:t>
      </w:r>
      <w:r w:rsidR="006A6981" w:rsidRPr="00394C86">
        <w:t xml:space="preserve">up </w:t>
      </w:r>
      <w:r w:rsidRPr="00394C86">
        <w:t xml:space="preserve"> </w:t>
      </w:r>
    </w:p>
    <w:p w14:paraId="44A63D07" w14:textId="77777777" w:rsidR="00D15D01" w:rsidRPr="00394C86" w:rsidRDefault="00D15D01" w:rsidP="006428F6">
      <w:pPr>
        <w:pStyle w:val="ListParagraph"/>
        <w:numPr>
          <w:ilvl w:val="0"/>
          <w:numId w:val="12"/>
        </w:numPr>
      </w:pPr>
      <w:r w:rsidRPr="00394C86">
        <w:t xml:space="preserve">Emerging DFAT priorities </w:t>
      </w:r>
    </w:p>
    <w:p w14:paraId="38801288" w14:textId="77777777" w:rsidR="00D15D01" w:rsidRPr="00394C86" w:rsidRDefault="00D15D01" w:rsidP="006428F6">
      <w:pPr>
        <w:pStyle w:val="ListParagraph"/>
        <w:numPr>
          <w:ilvl w:val="0"/>
          <w:numId w:val="12"/>
        </w:numPr>
      </w:pPr>
      <w:r w:rsidRPr="00394C86">
        <w:t>Potential to generate evidence or learning</w:t>
      </w:r>
    </w:p>
    <w:p w14:paraId="5A3E43B2" w14:textId="39BF364F" w:rsidR="003406B6" w:rsidRPr="00394C86" w:rsidRDefault="00D15D01" w:rsidP="003406B6">
      <w:pPr>
        <w:pStyle w:val="ListParagraph"/>
        <w:numPr>
          <w:ilvl w:val="0"/>
          <w:numId w:val="12"/>
        </w:numPr>
      </w:pPr>
      <w:r w:rsidRPr="00394C86">
        <w:t>Potential to have influence and impact at scale</w:t>
      </w:r>
    </w:p>
    <w:p w14:paraId="3D2C4408" w14:textId="40724730" w:rsidR="00D15D01" w:rsidRPr="00394C86" w:rsidRDefault="00235410" w:rsidP="00110706">
      <w:pPr>
        <w:rPr>
          <w:lang w:val="en-AU"/>
        </w:rPr>
      </w:pPr>
      <w:r w:rsidRPr="001659D9">
        <w:rPr>
          <w:lang w:val="en-AU"/>
        </w:rPr>
        <w:t>Selection and assessment criteria will favour partnerships between AHP NGOs, and/or the Red Cross or private sector</w:t>
      </w:r>
      <w:r w:rsidR="008A2590">
        <w:rPr>
          <w:lang w:val="en-AU"/>
        </w:rPr>
        <w:t xml:space="preserve"> organisations</w:t>
      </w:r>
      <w:r w:rsidRPr="001659D9">
        <w:rPr>
          <w:lang w:val="en-AU"/>
        </w:rPr>
        <w:t xml:space="preserve">. </w:t>
      </w:r>
      <w:r w:rsidR="008431BF" w:rsidRPr="001659D9">
        <w:rPr>
          <w:lang w:val="en-AU"/>
        </w:rPr>
        <w:br/>
      </w:r>
      <w:r w:rsidR="008431BF" w:rsidRPr="001659D9">
        <w:rPr>
          <w:lang w:val="en-AU"/>
        </w:rPr>
        <w:br/>
      </w:r>
      <w:r w:rsidRPr="001659D9">
        <w:rPr>
          <w:lang w:val="en-AU"/>
        </w:rPr>
        <w:t xml:space="preserve">In developing the selection criteria DFAT will consider whether a funding </w:t>
      </w:r>
      <w:r w:rsidR="00FB497E" w:rsidRPr="001659D9">
        <w:rPr>
          <w:lang w:val="en-AU"/>
        </w:rPr>
        <w:t xml:space="preserve">for proposals is appropriate, in consultation with the Steering Committee. </w:t>
      </w:r>
      <w:r w:rsidR="008431BF" w:rsidRPr="001659D9">
        <w:rPr>
          <w:lang w:val="en-AU"/>
        </w:rPr>
        <w:br/>
      </w:r>
      <w:r w:rsidR="008431BF" w:rsidRPr="001659D9">
        <w:rPr>
          <w:lang w:val="en-AU"/>
        </w:rPr>
        <w:br/>
      </w:r>
      <w:r w:rsidR="00D15D01" w:rsidRPr="00394C86">
        <w:rPr>
          <w:lang w:val="en-AU"/>
        </w:rPr>
        <w:t>In order to provide a rigorous and independent evaluation of the success or potential of an approach, NGOs will be required to partner with a research institution</w:t>
      </w:r>
      <w:r w:rsidR="004D5DF9" w:rsidRPr="00394C86">
        <w:rPr>
          <w:lang w:val="en-AU"/>
        </w:rPr>
        <w:t xml:space="preserve"> </w:t>
      </w:r>
      <w:r w:rsidR="00D15D01" w:rsidRPr="00394C86">
        <w:rPr>
          <w:lang w:val="en-AU"/>
        </w:rPr>
        <w:t xml:space="preserve">to be eligible for the Fund. </w:t>
      </w:r>
      <w:r w:rsidR="00D5185A" w:rsidRPr="00394C86">
        <w:rPr>
          <w:lang w:val="en-AU"/>
        </w:rPr>
        <w:t xml:space="preserve">At </w:t>
      </w:r>
      <w:r w:rsidR="00DA7CB9" w:rsidRPr="001659D9">
        <w:rPr>
          <w:lang w:val="en-AU"/>
        </w:rPr>
        <w:t>the very least,</w:t>
      </w:r>
      <w:r w:rsidR="00DA7CB9" w:rsidRPr="00394C86">
        <w:rPr>
          <w:lang w:val="en-AU"/>
        </w:rPr>
        <w:t xml:space="preserve"> </w:t>
      </w:r>
      <w:r w:rsidR="00D5185A" w:rsidRPr="00394C86">
        <w:rPr>
          <w:lang w:val="en-AU"/>
        </w:rPr>
        <w:t>the research partner should oversight the evaluation methodology, analysis and reporting.</w:t>
      </w:r>
      <w:r w:rsidR="008431BF" w:rsidRPr="001659D9">
        <w:rPr>
          <w:lang w:val="en-AU"/>
        </w:rPr>
        <w:br/>
      </w:r>
      <w:r w:rsidR="008431BF" w:rsidRPr="001659D9">
        <w:rPr>
          <w:lang w:val="en-AU"/>
        </w:rPr>
        <w:br/>
      </w:r>
      <w:r w:rsidR="00D15D01" w:rsidRPr="00394C86">
        <w:rPr>
          <w:lang w:val="en-AU"/>
        </w:rPr>
        <w:t xml:space="preserve">The NGOs must </w:t>
      </w:r>
      <w:r w:rsidR="004D5DF9" w:rsidRPr="00394C86">
        <w:rPr>
          <w:lang w:val="en-AU"/>
        </w:rPr>
        <w:t xml:space="preserve">include a </w:t>
      </w:r>
      <w:r w:rsidR="00D15D01" w:rsidRPr="00394C86">
        <w:rPr>
          <w:lang w:val="en-AU"/>
        </w:rPr>
        <w:t>communication strategy</w:t>
      </w:r>
      <w:r w:rsidR="004D5DF9" w:rsidRPr="00394C86">
        <w:rPr>
          <w:lang w:val="en-AU"/>
        </w:rPr>
        <w:t xml:space="preserve"> in their proposal</w:t>
      </w:r>
      <w:r w:rsidR="001659D9">
        <w:rPr>
          <w:lang w:val="en-AU"/>
        </w:rPr>
        <w:t>,</w:t>
      </w:r>
      <w:r w:rsidR="00D15D01" w:rsidRPr="00394C86">
        <w:rPr>
          <w:lang w:val="en-AU"/>
        </w:rPr>
        <w:t xml:space="preserve"> </w:t>
      </w:r>
      <w:r w:rsidR="001659D9">
        <w:rPr>
          <w:lang w:val="en-AU"/>
        </w:rPr>
        <w:t xml:space="preserve">outlining how they will </w:t>
      </w:r>
      <w:r w:rsidR="00D15D01" w:rsidRPr="00394C86">
        <w:rPr>
          <w:lang w:val="en-AU"/>
        </w:rPr>
        <w:t xml:space="preserve">maximise the influence and uptake of the approach into broader policy and practice areas. </w:t>
      </w:r>
      <w:r w:rsidR="008431BF" w:rsidRPr="001659D9">
        <w:rPr>
          <w:lang w:val="en-AU"/>
        </w:rPr>
        <w:br/>
      </w:r>
      <w:r w:rsidR="008431BF" w:rsidRPr="001659D9">
        <w:rPr>
          <w:lang w:val="en-AU"/>
        </w:rPr>
        <w:br/>
      </w:r>
      <w:r w:rsidR="008801D8" w:rsidRPr="00394C86">
        <w:rPr>
          <w:lang w:val="en-AU"/>
        </w:rPr>
        <w:t xml:space="preserve">Final </w:t>
      </w:r>
      <w:r w:rsidR="00D15D01" w:rsidRPr="00394C86">
        <w:rPr>
          <w:lang w:val="en-AU"/>
        </w:rPr>
        <w:t>selection criteria, the application process</w:t>
      </w:r>
      <w:r w:rsidR="00257CAB" w:rsidRPr="001659D9">
        <w:rPr>
          <w:lang w:val="en-AU"/>
        </w:rPr>
        <w:t>,</w:t>
      </w:r>
      <w:r w:rsidR="00D15D01" w:rsidRPr="001659D9">
        <w:rPr>
          <w:lang w:val="en-AU"/>
        </w:rPr>
        <w:t xml:space="preserve"> and funding available in each round will be determined by the DFAT Humanitarian </w:t>
      </w:r>
      <w:r w:rsidR="004360F8" w:rsidRPr="001659D9">
        <w:rPr>
          <w:lang w:val="en-AU"/>
        </w:rPr>
        <w:t xml:space="preserve">Preparedness </w:t>
      </w:r>
      <w:r w:rsidR="00C53E29" w:rsidRPr="001659D9">
        <w:rPr>
          <w:lang w:val="en-AU"/>
        </w:rPr>
        <w:t xml:space="preserve">and </w:t>
      </w:r>
      <w:r w:rsidR="004360F8" w:rsidRPr="001659D9">
        <w:rPr>
          <w:lang w:val="en-AU"/>
        </w:rPr>
        <w:t xml:space="preserve">Response </w:t>
      </w:r>
      <w:r w:rsidR="00C53E29" w:rsidRPr="001659D9">
        <w:rPr>
          <w:lang w:val="en-AU"/>
        </w:rPr>
        <w:t>Section and</w:t>
      </w:r>
      <w:r w:rsidR="00D15D01" w:rsidRPr="001659D9">
        <w:rPr>
          <w:lang w:val="en-AU"/>
        </w:rPr>
        <w:t xml:space="preserve"> other sections within the Humanitarian, NGOs and Partnerships Division</w:t>
      </w:r>
      <w:r w:rsidR="00DA7CB9" w:rsidRPr="001659D9">
        <w:rPr>
          <w:lang w:val="en-AU"/>
        </w:rPr>
        <w:t>;</w:t>
      </w:r>
      <w:r w:rsidR="00D15D01" w:rsidRPr="001659D9">
        <w:rPr>
          <w:lang w:val="en-AU"/>
        </w:rPr>
        <w:t xml:space="preserve"> the </w:t>
      </w:r>
      <w:r w:rsidR="001B44A2" w:rsidRPr="001659D9">
        <w:rPr>
          <w:lang w:val="en-AU"/>
        </w:rPr>
        <w:t>AHP SU</w:t>
      </w:r>
      <w:r w:rsidR="00DA7CB9" w:rsidRPr="001659D9">
        <w:rPr>
          <w:lang w:val="en-AU"/>
        </w:rPr>
        <w:t xml:space="preserve"> will also provide support</w:t>
      </w:r>
      <w:r w:rsidR="00D15D01" w:rsidRPr="00394C86">
        <w:rPr>
          <w:lang w:val="en-AU"/>
        </w:rPr>
        <w:t xml:space="preserve">. </w:t>
      </w:r>
    </w:p>
    <w:p w14:paraId="34C30D4B" w14:textId="77777777" w:rsidR="00D15D01" w:rsidRPr="00394C86" w:rsidRDefault="00D15D01" w:rsidP="00110706">
      <w:pPr>
        <w:rPr>
          <w:b/>
          <w:lang w:val="en-AU"/>
        </w:rPr>
      </w:pPr>
      <w:r w:rsidRPr="00394C86">
        <w:rPr>
          <w:b/>
          <w:lang w:val="en-AU"/>
        </w:rPr>
        <w:lastRenderedPageBreak/>
        <w:t xml:space="preserve">Timing </w:t>
      </w:r>
    </w:p>
    <w:tbl>
      <w:tblPr>
        <w:tblStyle w:val="TableGrid"/>
        <w:tblW w:w="0" w:type="auto"/>
        <w:tblLook w:val="04A0" w:firstRow="1" w:lastRow="0" w:firstColumn="1" w:lastColumn="0" w:noHBand="0" w:noVBand="1"/>
      </w:tblPr>
      <w:tblGrid>
        <w:gridCol w:w="1705"/>
        <w:gridCol w:w="7305"/>
      </w:tblGrid>
      <w:tr w:rsidR="00D15D01" w:rsidRPr="00394C86" w14:paraId="39AC8A7E" w14:textId="77777777" w:rsidTr="00060F18">
        <w:tc>
          <w:tcPr>
            <w:tcW w:w="1705" w:type="dxa"/>
          </w:tcPr>
          <w:p w14:paraId="39E1B470" w14:textId="77777777" w:rsidR="00D15D01" w:rsidRPr="00394C86" w:rsidRDefault="00D15D01" w:rsidP="00110706">
            <w:pPr>
              <w:rPr>
                <w:lang w:val="en-AU"/>
              </w:rPr>
            </w:pPr>
            <w:r w:rsidRPr="00394C86">
              <w:rPr>
                <w:lang w:val="en-AU"/>
              </w:rPr>
              <w:t>October 2018</w:t>
            </w:r>
          </w:p>
        </w:tc>
        <w:tc>
          <w:tcPr>
            <w:tcW w:w="7305" w:type="dxa"/>
          </w:tcPr>
          <w:p w14:paraId="22D3FD63" w14:textId="17F471F1" w:rsidR="00D15D01" w:rsidRPr="00394C86" w:rsidRDefault="00D15D01" w:rsidP="004D5DF9">
            <w:pPr>
              <w:rPr>
                <w:lang w:val="en-AU"/>
              </w:rPr>
            </w:pPr>
            <w:r w:rsidRPr="00394C86">
              <w:rPr>
                <w:lang w:val="en-AU"/>
              </w:rPr>
              <w:t xml:space="preserve">Annual country reviews – sharing of results from the first </w:t>
            </w:r>
            <w:r w:rsidR="004D5DF9" w:rsidRPr="00394C86">
              <w:rPr>
                <w:lang w:val="en-AU"/>
              </w:rPr>
              <w:t>nine months of</w:t>
            </w:r>
            <w:r w:rsidRPr="00394C86">
              <w:rPr>
                <w:lang w:val="en-AU"/>
              </w:rPr>
              <w:t xml:space="preserve"> implementation</w:t>
            </w:r>
            <w:r w:rsidR="004D5DF9" w:rsidRPr="00394C86">
              <w:rPr>
                <w:lang w:val="en-AU"/>
              </w:rPr>
              <w:t xml:space="preserve"> and relevant bridge fund activities</w:t>
            </w:r>
            <w:r w:rsidRPr="00394C86">
              <w:rPr>
                <w:lang w:val="en-AU"/>
              </w:rPr>
              <w:t>.</w:t>
            </w:r>
          </w:p>
        </w:tc>
      </w:tr>
      <w:tr w:rsidR="00D15D01" w:rsidRPr="00394C86" w14:paraId="71C750E4" w14:textId="77777777" w:rsidTr="00060F18">
        <w:tc>
          <w:tcPr>
            <w:tcW w:w="1705" w:type="dxa"/>
          </w:tcPr>
          <w:p w14:paraId="2B49E136" w14:textId="77777777" w:rsidR="00D15D01" w:rsidRPr="00394C86" w:rsidRDefault="00D15D01" w:rsidP="00110706">
            <w:pPr>
              <w:rPr>
                <w:lang w:val="en-AU"/>
              </w:rPr>
            </w:pPr>
            <w:r w:rsidRPr="00394C86">
              <w:rPr>
                <w:lang w:val="en-AU"/>
              </w:rPr>
              <w:t>December 2018</w:t>
            </w:r>
          </w:p>
        </w:tc>
        <w:tc>
          <w:tcPr>
            <w:tcW w:w="7305" w:type="dxa"/>
          </w:tcPr>
          <w:p w14:paraId="4C519B80" w14:textId="7BFB2F01" w:rsidR="00D15D01" w:rsidRPr="00394C86" w:rsidRDefault="00C53E29" w:rsidP="000A27A9">
            <w:pPr>
              <w:rPr>
                <w:lang w:val="en-AU"/>
              </w:rPr>
            </w:pPr>
            <w:r w:rsidRPr="00394C86">
              <w:rPr>
                <w:lang w:val="en-AU"/>
              </w:rPr>
              <w:t>AHP NGOs and DFAT</w:t>
            </w:r>
            <w:r w:rsidR="00D15D01" w:rsidRPr="00394C86">
              <w:rPr>
                <w:lang w:val="en-AU"/>
              </w:rPr>
              <w:t xml:space="preserve"> identify priorities for the PPF through the Disaster READY </w:t>
            </w:r>
            <w:r w:rsidR="00257CAB" w:rsidRPr="001659D9">
              <w:rPr>
                <w:lang w:val="en-AU"/>
              </w:rPr>
              <w:t>S</w:t>
            </w:r>
            <w:r w:rsidR="00D15D01" w:rsidRPr="001659D9">
              <w:rPr>
                <w:lang w:val="en-AU"/>
              </w:rPr>
              <w:t xml:space="preserve">teering </w:t>
            </w:r>
            <w:r w:rsidR="00257CAB" w:rsidRPr="001659D9">
              <w:rPr>
                <w:lang w:val="en-AU"/>
              </w:rPr>
              <w:t>C</w:t>
            </w:r>
            <w:r w:rsidR="00D15D01" w:rsidRPr="00394C86">
              <w:rPr>
                <w:lang w:val="en-AU"/>
              </w:rPr>
              <w:t>ommittee.</w:t>
            </w:r>
          </w:p>
        </w:tc>
      </w:tr>
      <w:tr w:rsidR="00D15D01" w:rsidRPr="00394C86" w14:paraId="405FF6DD" w14:textId="77777777" w:rsidTr="00060F18">
        <w:tc>
          <w:tcPr>
            <w:tcW w:w="1705" w:type="dxa"/>
          </w:tcPr>
          <w:p w14:paraId="06774167" w14:textId="77777777" w:rsidR="00D15D01" w:rsidRPr="00394C86" w:rsidRDefault="00D15D01" w:rsidP="00110706">
            <w:pPr>
              <w:rPr>
                <w:lang w:val="en-AU"/>
              </w:rPr>
            </w:pPr>
            <w:r w:rsidRPr="00394C86">
              <w:rPr>
                <w:lang w:val="en-AU"/>
              </w:rPr>
              <w:t>January 2019</w:t>
            </w:r>
          </w:p>
        </w:tc>
        <w:tc>
          <w:tcPr>
            <w:tcW w:w="7305" w:type="dxa"/>
          </w:tcPr>
          <w:p w14:paraId="2814C896" w14:textId="4C4AD019" w:rsidR="00D15D01" w:rsidRPr="00394C86" w:rsidRDefault="00D15D01" w:rsidP="00110706">
            <w:pPr>
              <w:rPr>
                <w:lang w:val="en-AU"/>
              </w:rPr>
            </w:pPr>
            <w:r w:rsidRPr="00394C86">
              <w:rPr>
                <w:lang w:val="en-AU"/>
              </w:rPr>
              <w:t>DFAT issues selection criteria, application forms</w:t>
            </w:r>
            <w:r w:rsidR="00257CAB" w:rsidRPr="001659D9">
              <w:rPr>
                <w:lang w:val="en-AU"/>
              </w:rPr>
              <w:t>,</w:t>
            </w:r>
            <w:r w:rsidRPr="00394C86">
              <w:rPr>
                <w:lang w:val="en-AU"/>
              </w:rPr>
              <w:t xml:space="preserve"> and timetable for submission and selection </w:t>
            </w:r>
          </w:p>
        </w:tc>
      </w:tr>
      <w:tr w:rsidR="00D15D01" w:rsidRPr="00394C86" w14:paraId="1A7BB276" w14:textId="77777777" w:rsidTr="00060F18">
        <w:tc>
          <w:tcPr>
            <w:tcW w:w="1705" w:type="dxa"/>
          </w:tcPr>
          <w:p w14:paraId="3C8E43FE" w14:textId="77777777" w:rsidR="00D15D01" w:rsidRPr="00394C86" w:rsidRDefault="00D15D01" w:rsidP="00110706">
            <w:pPr>
              <w:rPr>
                <w:lang w:val="en-AU"/>
              </w:rPr>
            </w:pPr>
            <w:r w:rsidRPr="00394C86">
              <w:rPr>
                <w:lang w:val="en-AU"/>
              </w:rPr>
              <w:t>March 2019</w:t>
            </w:r>
          </w:p>
        </w:tc>
        <w:tc>
          <w:tcPr>
            <w:tcW w:w="7305" w:type="dxa"/>
          </w:tcPr>
          <w:p w14:paraId="38D33A98" w14:textId="6E474301" w:rsidR="00D15D01" w:rsidRPr="00394C86" w:rsidRDefault="00D15D01" w:rsidP="00110706">
            <w:pPr>
              <w:rPr>
                <w:lang w:val="en-AU"/>
              </w:rPr>
            </w:pPr>
            <w:r w:rsidRPr="00394C86">
              <w:rPr>
                <w:b/>
                <w:lang w:val="en-AU"/>
              </w:rPr>
              <w:t xml:space="preserve">Round 1: </w:t>
            </w:r>
            <w:r w:rsidRPr="00394C86">
              <w:rPr>
                <w:lang w:val="en-AU"/>
              </w:rPr>
              <w:t xml:space="preserve">Grants announced, funding from April 2019 </w:t>
            </w:r>
            <w:r w:rsidR="002C6A84" w:rsidRPr="001659D9">
              <w:rPr>
                <w:lang w:val="en-AU"/>
              </w:rPr>
              <w:t>to</w:t>
            </w:r>
            <w:r w:rsidRPr="001659D9">
              <w:rPr>
                <w:lang w:val="en-AU"/>
              </w:rPr>
              <w:t xml:space="preserve"> September 2021 (report due as part of the NGO annual report by </w:t>
            </w:r>
            <w:r w:rsidR="002C6A84" w:rsidRPr="001659D9">
              <w:rPr>
                <w:lang w:val="en-AU"/>
              </w:rPr>
              <w:t xml:space="preserve">the </w:t>
            </w:r>
            <w:r w:rsidRPr="001659D9">
              <w:rPr>
                <w:lang w:val="en-AU"/>
              </w:rPr>
              <w:t xml:space="preserve">end </w:t>
            </w:r>
            <w:r w:rsidR="002C6A84" w:rsidRPr="001659D9">
              <w:rPr>
                <w:lang w:val="en-AU"/>
              </w:rPr>
              <w:t xml:space="preserve">of </w:t>
            </w:r>
            <w:r w:rsidRPr="00394C86">
              <w:rPr>
                <w:lang w:val="en-AU"/>
              </w:rPr>
              <w:t xml:space="preserve">October). </w:t>
            </w:r>
          </w:p>
        </w:tc>
      </w:tr>
      <w:tr w:rsidR="00D15D01" w:rsidRPr="00394C86" w14:paraId="2D75F146" w14:textId="77777777" w:rsidTr="00060F18">
        <w:tc>
          <w:tcPr>
            <w:tcW w:w="1705" w:type="dxa"/>
          </w:tcPr>
          <w:p w14:paraId="167A1929" w14:textId="77777777" w:rsidR="00D15D01" w:rsidRPr="001659D9" w:rsidRDefault="00D15D01" w:rsidP="00110706">
            <w:pPr>
              <w:rPr>
                <w:lang w:val="en-AU"/>
              </w:rPr>
            </w:pPr>
            <w:r w:rsidRPr="001659D9">
              <w:rPr>
                <w:lang w:val="en-AU"/>
              </w:rPr>
              <w:t>October 2019</w:t>
            </w:r>
          </w:p>
        </w:tc>
        <w:tc>
          <w:tcPr>
            <w:tcW w:w="7305" w:type="dxa"/>
          </w:tcPr>
          <w:p w14:paraId="6523E786" w14:textId="101ACAE5" w:rsidR="00D15D01" w:rsidRPr="00394C86" w:rsidRDefault="00D15D01" w:rsidP="00110706">
            <w:pPr>
              <w:rPr>
                <w:lang w:val="en-AU"/>
              </w:rPr>
            </w:pPr>
            <w:r w:rsidRPr="001659D9">
              <w:rPr>
                <w:lang w:val="en-AU"/>
              </w:rPr>
              <w:t xml:space="preserve">Annual country reviews. Reporting on PPF </w:t>
            </w:r>
            <w:r w:rsidR="002C6A84" w:rsidRPr="001659D9">
              <w:rPr>
                <w:lang w:val="en-AU"/>
              </w:rPr>
              <w:t>R</w:t>
            </w:r>
            <w:r w:rsidRPr="001659D9">
              <w:rPr>
                <w:lang w:val="en-AU"/>
              </w:rPr>
              <w:t>ound</w:t>
            </w:r>
            <w:r w:rsidR="002C6A84" w:rsidRPr="001659D9">
              <w:rPr>
                <w:lang w:val="en-AU"/>
              </w:rPr>
              <w:t xml:space="preserve"> 1</w:t>
            </w:r>
            <w:r w:rsidRPr="00394C86">
              <w:rPr>
                <w:lang w:val="en-AU"/>
              </w:rPr>
              <w:t xml:space="preserve"> grant implementation to be included in annual country reviews</w:t>
            </w:r>
          </w:p>
        </w:tc>
      </w:tr>
      <w:tr w:rsidR="00D15D01" w:rsidRPr="00394C86" w14:paraId="6588B379" w14:textId="77777777" w:rsidTr="00060F18">
        <w:tc>
          <w:tcPr>
            <w:tcW w:w="1705" w:type="dxa"/>
          </w:tcPr>
          <w:p w14:paraId="20B5CBFF" w14:textId="77777777" w:rsidR="00D15D01" w:rsidRPr="001659D9" w:rsidRDefault="00D15D01" w:rsidP="00110706">
            <w:pPr>
              <w:rPr>
                <w:lang w:val="en-AU"/>
              </w:rPr>
            </w:pPr>
            <w:r w:rsidRPr="001659D9">
              <w:rPr>
                <w:lang w:val="en-AU"/>
              </w:rPr>
              <w:t>December 2019</w:t>
            </w:r>
          </w:p>
        </w:tc>
        <w:tc>
          <w:tcPr>
            <w:tcW w:w="7305" w:type="dxa"/>
          </w:tcPr>
          <w:p w14:paraId="795FA6A3" w14:textId="27230504" w:rsidR="00D15D01" w:rsidRPr="00394C86" w:rsidRDefault="00D15D01" w:rsidP="000A27A9">
            <w:pPr>
              <w:rPr>
                <w:lang w:val="en-AU"/>
              </w:rPr>
            </w:pPr>
            <w:r w:rsidRPr="001659D9">
              <w:rPr>
                <w:lang w:val="en-AU"/>
              </w:rPr>
              <w:t xml:space="preserve">AHP NGOs and DFAT jointly identify priorities for the PPF through the Disaster READY </w:t>
            </w:r>
            <w:r w:rsidR="002C6A84" w:rsidRPr="001659D9">
              <w:rPr>
                <w:lang w:val="en-AU"/>
              </w:rPr>
              <w:t>S</w:t>
            </w:r>
            <w:r w:rsidRPr="001659D9">
              <w:rPr>
                <w:lang w:val="en-AU"/>
              </w:rPr>
              <w:t xml:space="preserve">teering </w:t>
            </w:r>
            <w:r w:rsidR="002C6A84" w:rsidRPr="001659D9">
              <w:rPr>
                <w:lang w:val="en-AU"/>
              </w:rPr>
              <w:t>C</w:t>
            </w:r>
            <w:r w:rsidRPr="00394C86">
              <w:rPr>
                <w:lang w:val="en-AU"/>
              </w:rPr>
              <w:t>ommittee.</w:t>
            </w:r>
          </w:p>
        </w:tc>
      </w:tr>
      <w:tr w:rsidR="00D15D01" w:rsidRPr="00394C86" w14:paraId="3222B117" w14:textId="77777777" w:rsidTr="00060F18">
        <w:tc>
          <w:tcPr>
            <w:tcW w:w="1705" w:type="dxa"/>
          </w:tcPr>
          <w:p w14:paraId="485A1754" w14:textId="77777777" w:rsidR="00D15D01" w:rsidRPr="00394C86" w:rsidRDefault="00D15D01" w:rsidP="00110706">
            <w:pPr>
              <w:rPr>
                <w:lang w:val="en-AU"/>
              </w:rPr>
            </w:pPr>
            <w:r w:rsidRPr="00394C86">
              <w:rPr>
                <w:lang w:val="en-AU"/>
              </w:rPr>
              <w:t>January 2020</w:t>
            </w:r>
          </w:p>
        </w:tc>
        <w:tc>
          <w:tcPr>
            <w:tcW w:w="7305" w:type="dxa"/>
          </w:tcPr>
          <w:p w14:paraId="433DBA59" w14:textId="7B04B187" w:rsidR="00D15D01" w:rsidRPr="00394C86" w:rsidRDefault="00D15D01" w:rsidP="00110706">
            <w:pPr>
              <w:rPr>
                <w:lang w:val="en-AU"/>
              </w:rPr>
            </w:pPr>
            <w:r w:rsidRPr="00394C86">
              <w:rPr>
                <w:lang w:val="en-AU"/>
              </w:rPr>
              <w:t>DFAT issues selection criteria, application forms</w:t>
            </w:r>
            <w:r w:rsidR="002C6A84" w:rsidRPr="001659D9">
              <w:rPr>
                <w:lang w:val="en-AU"/>
              </w:rPr>
              <w:t>,</w:t>
            </w:r>
            <w:r w:rsidRPr="00394C86">
              <w:rPr>
                <w:lang w:val="en-AU"/>
              </w:rPr>
              <w:t xml:space="preserve"> and timetable for submission and selection </w:t>
            </w:r>
          </w:p>
        </w:tc>
      </w:tr>
      <w:tr w:rsidR="00D15D01" w:rsidRPr="00394C86" w14:paraId="22D9F84E" w14:textId="77777777" w:rsidTr="00060F18">
        <w:trPr>
          <w:trHeight w:val="647"/>
        </w:trPr>
        <w:tc>
          <w:tcPr>
            <w:tcW w:w="1705" w:type="dxa"/>
          </w:tcPr>
          <w:p w14:paraId="77F08124" w14:textId="77777777" w:rsidR="00D15D01" w:rsidRPr="001659D9" w:rsidRDefault="00D15D01" w:rsidP="00110706">
            <w:pPr>
              <w:rPr>
                <w:lang w:val="en-AU"/>
              </w:rPr>
            </w:pPr>
            <w:r w:rsidRPr="001659D9">
              <w:rPr>
                <w:lang w:val="en-AU"/>
              </w:rPr>
              <w:t>March 2020</w:t>
            </w:r>
          </w:p>
        </w:tc>
        <w:tc>
          <w:tcPr>
            <w:tcW w:w="7305" w:type="dxa"/>
          </w:tcPr>
          <w:p w14:paraId="60972E59" w14:textId="05842E91" w:rsidR="00D15D01" w:rsidRPr="00394C86" w:rsidRDefault="00D15D01" w:rsidP="00110706">
            <w:pPr>
              <w:rPr>
                <w:lang w:val="en-AU"/>
              </w:rPr>
            </w:pPr>
            <w:r w:rsidRPr="001659D9">
              <w:rPr>
                <w:b/>
                <w:lang w:val="en-AU"/>
              </w:rPr>
              <w:t xml:space="preserve">Round 2: </w:t>
            </w:r>
            <w:r w:rsidRPr="001659D9">
              <w:rPr>
                <w:lang w:val="en-AU"/>
              </w:rPr>
              <w:t xml:space="preserve">Grants announced, funding from April 2020 </w:t>
            </w:r>
            <w:r w:rsidR="002C6A84" w:rsidRPr="001659D9">
              <w:rPr>
                <w:lang w:val="en-AU"/>
              </w:rPr>
              <w:t>to</w:t>
            </w:r>
            <w:r w:rsidRPr="00394C86">
              <w:rPr>
                <w:lang w:val="en-AU"/>
              </w:rPr>
              <w:t xml:space="preserve"> June 2022. </w:t>
            </w:r>
          </w:p>
        </w:tc>
      </w:tr>
    </w:tbl>
    <w:p w14:paraId="673CDAF6" w14:textId="41039E2B" w:rsidR="00D15D01" w:rsidRPr="001659D9" w:rsidRDefault="001659D9" w:rsidP="00110706">
      <w:pPr>
        <w:rPr>
          <w:b/>
          <w:lang w:val="en-AU"/>
        </w:rPr>
      </w:pPr>
      <w:r>
        <w:rPr>
          <w:b/>
          <w:color w:val="3C3C3C" w:themeColor="background2" w:themeShade="40"/>
          <w:lang w:val="en-AU"/>
        </w:rPr>
        <w:br/>
      </w:r>
      <w:r w:rsidR="00D15D01" w:rsidRPr="001659D9">
        <w:rPr>
          <w:b/>
          <w:lang w:val="en-AU"/>
        </w:rPr>
        <w:t>Selection committee</w:t>
      </w:r>
    </w:p>
    <w:p w14:paraId="7F6083EA" w14:textId="302E33D0" w:rsidR="00D15D01" w:rsidRPr="00394C86" w:rsidRDefault="00D15D01" w:rsidP="00110706">
      <w:pPr>
        <w:rPr>
          <w:color w:val="3C3C3C" w:themeColor="background2" w:themeShade="40"/>
          <w:lang w:val="en-AU"/>
        </w:rPr>
      </w:pPr>
      <w:r w:rsidRPr="001659D9">
        <w:rPr>
          <w:lang w:val="en-AU"/>
        </w:rPr>
        <w:t xml:space="preserve">Selection will be undertaken by a committee chaired by </w:t>
      </w:r>
      <w:r w:rsidR="004414C0" w:rsidRPr="001659D9">
        <w:rPr>
          <w:lang w:val="en-AU"/>
        </w:rPr>
        <w:t>the Director of Humanitarian Preparedness and Response Section, one or more independent experts</w:t>
      </w:r>
      <w:r w:rsidR="004414C0" w:rsidRPr="001659D9">
        <w:rPr>
          <w:rStyle w:val="FootnoteReference"/>
          <w:lang w:val="en-AU"/>
        </w:rPr>
        <w:footnoteReference w:id="41"/>
      </w:r>
      <w:r w:rsidR="004414C0" w:rsidRPr="001659D9">
        <w:rPr>
          <w:lang w:val="en-AU"/>
        </w:rPr>
        <w:t>, and other DFAT humanitarian and Pacific experts. Feedback will also be requested from social inclusion, protection and poverty</w:t>
      </w:r>
      <w:r w:rsidR="002C6A84" w:rsidRPr="001659D9">
        <w:rPr>
          <w:lang w:val="en-AU"/>
        </w:rPr>
        <w:t>,</w:t>
      </w:r>
      <w:r w:rsidR="004414C0" w:rsidRPr="001659D9">
        <w:rPr>
          <w:lang w:val="en-AU"/>
        </w:rPr>
        <w:t xml:space="preserve"> and social transfers experts. </w:t>
      </w:r>
      <w:r w:rsidRPr="001659D9">
        <w:rPr>
          <w:lang w:val="en-AU"/>
        </w:rPr>
        <w:t>Selection will be based on an assessment of written proposals</w:t>
      </w:r>
      <w:r w:rsidR="00DA7CB9" w:rsidRPr="001659D9">
        <w:rPr>
          <w:lang w:val="en-AU"/>
        </w:rPr>
        <w:t>,</w:t>
      </w:r>
      <w:r w:rsidRPr="001659D9">
        <w:rPr>
          <w:lang w:val="en-AU"/>
        </w:rPr>
        <w:t xml:space="preserve"> including budgets. A summary of selected proposals will be made available to all AHP NGOs.</w:t>
      </w:r>
      <w:r w:rsidR="008431BF" w:rsidRPr="00394C86">
        <w:rPr>
          <w:color w:val="3C3C3C" w:themeColor="background2" w:themeShade="40"/>
          <w:lang w:val="en-AU"/>
        </w:rPr>
        <w:br/>
      </w:r>
    </w:p>
    <w:p w14:paraId="660774B1" w14:textId="399DF072" w:rsidR="00393B18" w:rsidRPr="00394C86" w:rsidRDefault="00393B18" w:rsidP="00393B18">
      <w:pPr>
        <w:pStyle w:val="Heading1"/>
        <w:rPr>
          <w:rFonts w:ascii="Calibri" w:hAnsi="Calibri" w:cs="Calibri"/>
          <w:lang w:val="en-AU"/>
        </w:rPr>
      </w:pPr>
      <w:bookmarkStart w:id="27" w:name="_Toc498067948"/>
      <w:bookmarkStart w:id="28" w:name="_Toc501451671"/>
      <w:r w:rsidRPr="00394C86">
        <w:rPr>
          <w:rFonts w:ascii="Calibri" w:hAnsi="Calibri" w:cs="Calibri"/>
          <w:lang w:val="en-AU"/>
        </w:rPr>
        <w:t xml:space="preserve">Governance and </w:t>
      </w:r>
      <w:r w:rsidR="00C16C0A" w:rsidRPr="00394C86">
        <w:rPr>
          <w:rFonts w:ascii="Calibri" w:hAnsi="Calibri" w:cs="Calibri"/>
          <w:lang w:val="en-AU"/>
        </w:rPr>
        <w:t>M</w:t>
      </w:r>
      <w:r w:rsidRPr="00394C86">
        <w:rPr>
          <w:rFonts w:ascii="Calibri" w:hAnsi="Calibri" w:cs="Calibri"/>
          <w:lang w:val="en-AU"/>
        </w:rPr>
        <w:t xml:space="preserve">anagement </w:t>
      </w:r>
      <w:r w:rsidR="00B9309E" w:rsidRPr="00394C86">
        <w:rPr>
          <w:rFonts w:ascii="Calibri" w:hAnsi="Calibri" w:cs="Calibri"/>
          <w:lang w:val="en-AU"/>
        </w:rPr>
        <w:t>A</w:t>
      </w:r>
      <w:r w:rsidRPr="00394C86">
        <w:rPr>
          <w:rFonts w:ascii="Calibri" w:hAnsi="Calibri" w:cs="Calibri"/>
          <w:lang w:val="en-AU"/>
        </w:rPr>
        <w:t>rrangements</w:t>
      </w:r>
      <w:bookmarkEnd w:id="27"/>
      <w:bookmarkEnd w:id="28"/>
    </w:p>
    <w:p w14:paraId="4714A449" w14:textId="77777777" w:rsidR="00393B18" w:rsidRPr="00394C86" w:rsidRDefault="00393B18" w:rsidP="00393B18">
      <w:pPr>
        <w:pStyle w:val="Heading2"/>
        <w:rPr>
          <w:rFonts w:ascii="Calibri" w:hAnsi="Calibri" w:cs="Calibri"/>
          <w:lang w:val="en-AU"/>
        </w:rPr>
      </w:pPr>
      <w:bookmarkStart w:id="29" w:name="_Toc501451672"/>
      <w:r w:rsidRPr="00394C86">
        <w:rPr>
          <w:rFonts w:ascii="Calibri" w:hAnsi="Calibri" w:cs="Calibri"/>
          <w:lang w:val="en-AU"/>
        </w:rPr>
        <w:t>Governance</w:t>
      </w:r>
      <w:bookmarkEnd w:id="29"/>
    </w:p>
    <w:p w14:paraId="0BE39F0F" w14:textId="5D277CF5" w:rsidR="009B2AA2" w:rsidRPr="001659D9" w:rsidRDefault="009B2AA2" w:rsidP="009B2AA2">
      <w:pPr>
        <w:spacing w:after="120" w:line="276" w:lineRule="auto"/>
        <w:rPr>
          <w:lang w:val="en-AU"/>
        </w:rPr>
      </w:pPr>
      <w:r w:rsidRPr="001659D9">
        <w:rPr>
          <w:lang w:val="en-AU"/>
        </w:rPr>
        <w:t>AHP Disaster READY is an initiative of the DFAT Humanitarian, NGOs and Partnerships Division (HPD) in partnership with six AHP NGO leads</w:t>
      </w:r>
      <w:r w:rsidR="000A27A9" w:rsidRPr="001659D9">
        <w:rPr>
          <w:lang w:val="en-AU"/>
        </w:rPr>
        <w:t xml:space="preserve">. It </w:t>
      </w:r>
      <w:r w:rsidR="002C6A84" w:rsidRPr="001659D9">
        <w:rPr>
          <w:lang w:val="en-AU"/>
        </w:rPr>
        <w:t xml:space="preserve">is </w:t>
      </w:r>
      <w:r w:rsidRPr="001659D9">
        <w:rPr>
          <w:lang w:val="en-AU"/>
        </w:rPr>
        <w:t xml:space="preserve">supported by the AHP SU. All final funding decisions, including annual tranches and </w:t>
      </w:r>
      <w:r w:rsidR="000A27A9" w:rsidRPr="001659D9">
        <w:rPr>
          <w:lang w:val="en-AU"/>
        </w:rPr>
        <w:t>PPF</w:t>
      </w:r>
      <w:r w:rsidRPr="001659D9">
        <w:rPr>
          <w:lang w:val="en-AU"/>
        </w:rPr>
        <w:t xml:space="preserve"> grants, will be approved by DFAT</w:t>
      </w:r>
      <w:r w:rsidRPr="001659D9">
        <w:rPr>
          <w:rStyle w:val="FootnoteReference"/>
          <w:lang w:val="en-AU"/>
        </w:rPr>
        <w:footnoteReference w:id="42"/>
      </w:r>
      <w:r w:rsidRPr="001659D9">
        <w:rPr>
          <w:lang w:val="en-AU"/>
        </w:rPr>
        <w:t xml:space="preserve">.  These decisions will be informed by a robust country annual review and planning process </w:t>
      </w:r>
      <w:r w:rsidR="000A27A9" w:rsidRPr="001659D9">
        <w:rPr>
          <w:lang w:val="en-AU"/>
        </w:rPr>
        <w:t xml:space="preserve">as well as </w:t>
      </w:r>
      <w:r w:rsidRPr="001659D9">
        <w:rPr>
          <w:lang w:val="en-AU"/>
        </w:rPr>
        <w:t xml:space="preserve">the views of </w:t>
      </w:r>
      <w:r w:rsidR="001A5037" w:rsidRPr="001659D9">
        <w:rPr>
          <w:lang w:val="en-AU"/>
        </w:rPr>
        <w:t>S</w:t>
      </w:r>
      <w:r w:rsidRPr="001659D9">
        <w:rPr>
          <w:lang w:val="en-AU"/>
        </w:rPr>
        <w:t xml:space="preserve">teering </w:t>
      </w:r>
      <w:r w:rsidR="001A5037" w:rsidRPr="001659D9">
        <w:rPr>
          <w:lang w:val="en-AU"/>
        </w:rPr>
        <w:t>C</w:t>
      </w:r>
      <w:r w:rsidRPr="001659D9">
        <w:rPr>
          <w:lang w:val="en-AU"/>
        </w:rPr>
        <w:t xml:space="preserve">ommittee members. DFAT will also hold final approval for major shifts in program strategy, realignment of funding, </w:t>
      </w:r>
      <w:r w:rsidRPr="001659D9">
        <w:rPr>
          <w:lang w:val="en-AU"/>
        </w:rPr>
        <w:lastRenderedPageBreak/>
        <w:t>changes in geographic focus, or other key decisions which impact on the overall implementation of Disaster READY.</w:t>
      </w:r>
      <w:r w:rsidR="008431BF" w:rsidRPr="001659D9">
        <w:rPr>
          <w:lang w:val="en-AU"/>
        </w:rPr>
        <w:br/>
      </w:r>
      <w:r w:rsidR="008431BF" w:rsidRPr="001659D9">
        <w:rPr>
          <w:lang w:val="en-AU"/>
        </w:rPr>
        <w:br/>
      </w:r>
      <w:r w:rsidRPr="001659D9">
        <w:rPr>
          <w:lang w:val="en-AU"/>
        </w:rPr>
        <w:t xml:space="preserve">In line with the collaborative intent of Disaster READY, strategic direction setting and assessment of overall progress and relationships between AHP NGOs and DFAT at the program level will be managed through the Disaster READY Steering Committee. At the country level, Disaster READY </w:t>
      </w:r>
      <w:r w:rsidR="009D0B2B" w:rsidRPr="001659D9">
        <w:rPr>
          <w:lang w:val="en-AU"/>
        </w:rPr>
        <w:t>Country Committee</w:t>
      </w:r>
      <w:r w:rsidRPr="001659D9">
        <w:rPr>
          <w:lang w:val="en-AU"/>
        </w:rPr>
        <w:t>s (formed as working groups during the design) are responsible for coordination between NGOs and between the NGOs and DFAT Post, government and other stakeholders</w:t>
      </w:r>
      <w:r w:rsidR="000A27A9" w:rsidRPr="001659D9">
        <w:rPr>
          <w:lang w:val="en-AU"/>
        </w:rPr>
        <w:t xml:space="preserve">. Country Committees are also responsible for </w:t>
      </w:r>
      <w:r w:rsidRPr="001659D9">
        <w:rPr>
          <w:lang w:val="en-AU"/>
        </w:rPr>
        <w:t xml:space="preserve">assessing progress against the country </w:t>
      </w:r>
      <w:r w:rsidR="000A27A9" w:rsidRPr="001659D9">
        <w:rPr>
          <w:lang w:val="en-AU"/>
        </w:rPr>
        <w:t xml:space="preserve">plans </w:t>
      </w:r>
      <w:r w:rsidRPr="001659D9">
        <w:rPr>
          <w:lang w:val="en-AU"/>
        </w:rPr>
        <w:t xml:space="preserve">and setting shared service priorities. The AHP SU will support both the Disaster READY Steering Committee and the Disaster READY </w:t>
      </w:r>
      <w:r w:rsidR="009D0B2B" w:rsidRPr="001659D9">
        <w:rPr>
          <w:lang w:val="en-AU"/>
        </w:rPr>
        <w:t>Country Committee</w:t>
      </w:r>
      <w:r w:rsidRPr="001659D9">
        <w:rPr>
          <w:lang w:val="en-AU"/>
        </w:rPr>
        <w:t>s.</w:t>
      </w:r>
      <w:r w:rsidR="00367F70" w:rsidRPr="001659D9">
        <w:rPr>
          <w:lang w:val="en-AU"/>
        </w:rPr>
        <w:t xml:space="preserve"> </w:t>
      </w:r>
    </w:p>
    <w:p w14:paraId="56BCB757" w14:textId="27AB1194" w:rsidR="009B2AA2" w:rsidRPr="00394C86" w:rsidRDefault="00E04824" w:rsidP="009B2AA2">
      <w:pPr>
        <w:pStyle w:val="Caption"/>
        <w:keepNext/>
        <w:spacing w:after="120" w:line="276" w:lineRule="auto"/>
        <w:rPr>
          <w:i/>
          <w:lang w:val="en-AU"/>
        </w:rPr>
      </w:pPr>
      <w:r w:rsidRPr="00394C86">
        <w:rPr>
          <w:i/>
          <w:lang w:val="en-AU"/>
        </w:rPr>
        <w:t>Figure</w:t>
      </w:r>
      <w:r w:rsidR="009B2AA2" w:rsidRPr="00394C86">
        <w:rPr>
          <w:i/>
          <w:lang w:val="en-AU"/>
        </w:rPr>
        <w:t xml:space="preserve"> </w:t>
      </w:r>
      <w:r w:rsidR="008D1A63" w:rsidRPr="00394C86">
        <w:rPr>
          <w:i/>
          <w:lang w:val="en-AU"/>
        </w:rPr>
        <w:t>3</w:t>
      </w:r>
      <w:r w:rsidR="009B2AA2" w:rsidRPr="00394C86">
        <w:rPr>
          <w:i/>
          <w:lang w:val="en-AU"/>
        </w:rPr>
        <w:t>: Disaster READY Governance Arrangements</w:t>
      </w:r>
    </w:p>
    <w:p w14:paraId="7B4D5520" w14:textId="312D7F26" w:rsidR="00393B18" w:rsidRPr="00394C86" w:rsidRDefault="00456D6C" w:rsidP="00393B18">
      <w:pPr>
        <w:rPr>
          <w:lang w:val="en-AU"/>
        </w:rPr>
      </w:pPr>
      <w:r w:rsidRPr="00394C86">
        <w:t xml:space="preserve"> </w:t>
      </w:r>
      <w:r w:rsidRPr="00A048D6">
        <w:object w:dxaOrig="11691" w:dyaOrig="10471" w14:anchorId="4AB76E4F">
          <v:shape id="_x0000_i1026" type="#_x0000_t75" style="width:468.2pt;height:419.35pt" o:ole="" o:bordertopcolor="#6f0" o:borderleftcolor="#6f0" o:borderbottomcolor="#6f0" o:borderrightcolor="#6f0">
            <v:imagedata r:id="rId17" o:title=""/>
            <w10:bordertop type="single" width="8"/>
            <w10:borderleft type="single" width="8"/>
            <w10:borderbottom type="single" width="8"/>
            <w10:borderright type="single" width="8"/>
          </v:shape>
          <o:OLEObject Type="Embed" ProgID="Visio.Drawing.15" ShapeID="_x0000_i1026" DrawAspect="Content" ObjectID="_1579438553" r:id="rId18"/>
        </w:object>
      </w:r>
    </w:p>
    <w:p w14:paraId="5C9E4885" w14:textId="0D228176" w:rsidR="009B2AA2" w:rsidRPr="00394C86" w:rsidRDefault="00394C86" w:rsidP="009B2AA2">
      <w:pPr>
        <w:spacing w:after="120" w:line="276" w:lineRule="auto"/>
        <w:rPr>
          <w:b/>
          <w:color w:val="3C3C3C" w:themeColor="background2" w:themeShade="40"/>
          <w:lang w:val="en-AU"/>
        </w:rPr>
      </w:pPr>
      <w:r w:rsidRPr="00394C86">
        <w:rPr>
          <w:b/>
          <w:color w:val="3C3C3C" w:themeColor="background2" w:themeShade="40"/>
          <w:lang w:val="en-AU"/>
        </w:rPr>
        <w:lastRenderedPageBreak/>
        <w:br/>
      </w:r>
      <w:r w:rsidR="009B2AA2" w:rsidRPr="00394C86">
        <w:rPr>
          <w:b/>
          <w:color w:val="3C3C3C" w:themeColor="background2" w:themeShade="40"/>
          <w:lang w:val="en-AU"/>
        </w:rPr>
        <w:t>Disaster READY Steering Committee</w:t>
      </w:r>
      <w:r w:rsidR="008431BF" w:rsidRPr="00394C86">
        <w:rPr>
          <w:color w:val="3C3C3C" w:themeColor="background2" w:themeShade="40"/>
          <w:lang w:val="en-AU"/>
        </w:rPr>
        <w:br/>
      </w:r>
      <w:r w:rsidR="008431BF" w:rsidRPr="00394C86">
        <w:rPr>
          <w:color w:val="3C3C3C" w:themeColor="background2" w:themeShade="40"/>
          <w:lang w:val="en-AU"/>
        </w:rPr>
        <w:br/>
      </w:r>
      <w:r w:rsidR="009B2AA2" w:rsidRPr="00394C86">
        <w:rPr>
          <w:color w:val="3C3C3C" w:themeColor="background2" w:themeShade="40"/>
          <w:lang w:val="en-AU"/>
        </w:rPr>
        <w:t>The</w:t>
      </w:r>
      <w:r w:rsidR="009B2AA2" w:rsidRPr="00394C86">
        <w:rPr>
          <w:b/>
          <w:color w:val="3C3C3C" w:themeColor="background2" w:themeShade="40"/>
          <w:lang w:val="en-AU"/>
        </w:rPr>
        <w:t xml:space="preserve"> Steering Committee </w:t>
      </w:r>
      <w:r w:rsidR="009B2AA2" w:rsidRPr="00394C86">
        <w:rPr>
          <w:color w:val="3C3C3C" w:themeColor="background2" w:themeShade="40"/>
          <w:lang w:val="en-AU"/>
        </w:rPr>
        <w:t xml:space="preserve">is responsible for strategic direction setting and assessment of overall progress and relationships between AHP NGOs and DFAT at the program level. </w:t>
      </w:r>
      <w:r w:rsidR="000001E0" w:rsidRPr="00394C86">
        <w:rPr>
          <w:color w:val="3C3C3C" w:themeColor="background2" w:themeShade="40"/>
          <w:lang w:val="en-AU"/>
        </w:rPr>
        <w:t xml:space="preserve">The </w:t>
      </w:r>
      <w:r w:rsidR="002C6A84" w:rsidRPr="00394C86">
        <w:rPr>
          <w:color w:val="3C3C3C" w:themeColor="background2" w:themeShade="40"/>
          <w:lang w:val="en-AU"/>
        </w:rPr>
        <w:t>Steering C</w:t>
      </w:r>
      <w:r w:rsidR="000001E0" w:rsidRPr="00394C86">
        <w:rPr>
          <w:color w:val="3C3C3C" w:themeColor="background2" w:themeShade="40"/>
          <w:lang w:val="en-AU"/>
        </w:rPr>
        <w:t xml:space="preserve">ommittee should take </w:t>
      </w:r>
      <w:r w:rsidR="009F33FE" w:rsidRPr="00394C86">
        <w:rPr>
          <w:color w:val="3C3C3C" w:themeColor="background2" w:themeShade="40"/>
          <w:lang w:val="en-AU"/>
        </w:rPr>
        <w:t xml:space="preserve">the </w:t>
      </w:r>
      <w:r w:rsidR="000001E0" w:rsidRPr="00394C86">
        <w:rPr>
          <w:color w:val="3C3C3C" w:themeColor="background2" w:themeShade="40"/>
          <w:lang w:val="en-AU"/>
        </w:rPr>
        <w:t xml:space="preserve">views of </w:t>
      </w:r>
      <w:r w:rsidR="002C6A84" w:rsidRPr="00394C86">
        <w:rPr>
          <w:color w:val="3C3C3C" w:themeColor="background2" w:themeShade="40"/>
          <w:lang w:val="en-AU"/>
        </w:rPr>
        <w:t>C</w:t>
      </w:r>
      <w:r w:rsidR="009F33FE" w:rsidRPr="00394C86">
        <w:rPr>
          <w:color w:val="3C3C3C" w:themeColor="background2" w:themeShade="40"/>
          <w:lang w:val="en-AU"/>
        </w:rPr>
        <w:t xml:space="preserve">ountry </w:t>
      </w:r>
      <w:r w:rsidR="002C6A84" w:rsidRPr="00394C86">
        <w:rPr>
          <w:color w:val="3C3C3C" w:themeColor="background2" w:themeShade="40"/>
          <w:lang w:val="en-AU"/>
        </w:rPr>
        <w:t>C</w:t>
      </w:r>
      <w:r w:rsidR="009F33FE" w:rsidRPr="00394C86">
        <w:rPr>
          <w:color w:val="3C3C3C" w:themeColor="background2" w:themeShade="40"/>
          <w:lang w:val="en-AU"/>
        </w:rPr>
        <w:t xml:space="preserve">ommittees into account. </w:t>
      </w:r>
      <w:r w:rsidR="00720AC8" w:rsidRPr="00394C86">
        <w:rPr>
          <w:color w:val="3C3C3C" w:themeColor="background2" w:themeShade="40"/>
          <w:lang w:val="en-AU"/>
        </w:rPr>
        <w:t>C</w:t>
      </w:r>
      <w:r w:rsidR="009B2AA2" w:rsidRPr="00394C86">
        <w:rPr>
          <w:color w:val="3C3C3C" w:themeColor="background2" w:themeShade="40"/>
          <w:lang w:val="en-AU"/>
        </w:rPr>
        <w:t xml:space="preserve">ommittee meetings will be held in </w:t>
      </w:r>
      <w:r w:rsidR="00720AC8" w:rsidRPr="00394C86">
        <w:rPr>
          <w:color w:val="3C3C3C" w:themeColor="background2" w:themeShade="40"/>
          <w:lang w:val="en-AU"/>
        </w:rPr>
        <w:t>Melbourne or Canberra, with teleconference facilities for participants in other locations</w:t>
      </w:r>
      <w:r w:rsidR="009B2AA2" w:rsidRPr="00394C86">
        <w:rPr>
          <w:color w:val="3C3C3C" w:themeColor="background2" w:themeShade="40"/>
          <w:lang w:val="en-AU"/>
        </w:rPr>
        <w:t>. Face</w:t>
      </w:r>
      <w:r w:rsidR="002C6A84" w:rsidRPr="00394C86">
        <w:rPr>
          <w:color w:val="3C3C3C" w:themeColor="background2" w:themeShade="40"/>
          <w:lang w:val="en-AU"/>
        </w:rPr>
        <w:t>-</w:t>
      </w:r>
      <w:r w:rsidR="009B2AA2" w:rsidRPr="00394C86">
        <w:rPr>
          <w:color w:val="3C3C3C" w:themeColor="background2" w:themeShade="40"/>
          <w:lang w:val="en-AU"/>
        </w:rPr>
        <w:t>to</w:t>
      </w:r>
      <w:r w:rsidR="002C6A84" w:rsidRPr="00394C86">
        <w:rPr>
          <w:color w:val="3C3C3C" w:themeColor="background2" w:themeShade="40"/>
          <w:lang w:val="en-AU"/>
        </w:rPr>
        <w:t>-</w:t>
      </w:r>
      <w:r w:rsidR="009B2AA2" w:rsidRPr="00394C86">
        <w:rPr>
          <w:color w:val="3C3C3C" w:themeColor="background2" w:themeShade="40"/>
          <w:lang w:val="en-AU"/>
        </w:rPr>
        <w:t>face meetings with all representatives will be aligned with the regional forum</w:t>
      </w:r>
      <w:r w:rsidR="00621287" w:rsidRPr="00394C86">
        <w:rPr>
          <w:rStyle w:val="FootnoteReference"/>
          <w:color w:val="3C3C3C" w:themeColor="background2" w:themeShade="40"/>
          <w:lang w:val="en-AU"/>
        </w:rPr>
        <w:footnoteReference w:id="43"/>
      </w:r>
      <w:r w:rsidR="009B2AA2" w:rsidRPr="00394C86">
        <w:rPr>
          <w:color w:val="3C3C3C" w:themeColor="background2" w:themeShade="40"/>
          <w:lang w:val="en-AU"/>
        </w:rPr>
        <w:t xml:space="preserve">. </w:t>
      </w:r>
    </w:p>
    <w:p w14:paraId="3F5105E3" w14:textId="77777777" w:rsidR="009B2AA2" w:rsidRPr="00394C86" w:rsidRDefault="009B2AA2" w:rsidP="009B2AA2">
      <w:pPr>
        <w:spacing w:after="120" w:line="276" w:lineRule="auto"/>
        <w:rPr>
          <w:b/>
          <w:i/>
          <w:color w:val="3C3C3C" w:themeColor="background2" w:themeShade="40"/>
          <w:lang w:val="en-AU"/>
        </w:rPr>
      </w:pPr>
      <w:r w:rsidRPr="00394C86">
        <w:rPr>
          <w:b/>
          <w:i/>
          <w:color w:val="3C3C3C" w:themeColor="background2" w:themeShade="40"/>
          <w:lang w:val="en-AU"/>
        </w:rPr>
        <w:t xml:space="preserve">Membership </w:t>
      </w:r>
    </w:p>
    <w:p w14:paraId="225B9AB3" w14:textId="2E807764" w:rsidR="009B2AA2" w:rsidRPr="00394C86" w:rsidRDefault="009B2AA2" w:rsidP="009B2AA2">
      <w:pPr>
        <w:pStyle w:val="ListParagraph"/>
        <w:numPr>
          <w:ilvl w:val="0"/>
          <w:numId w:val="16"/>
        </w:numPr>
        <w:spacing w:before="120" w:after="120" w:line="276" w:lineRule="auto"/>
        <w:rPr>
          <w:color w:val="3C3C3C" w:themeColor="background2" w:themeShade="40"/>
        </w:rPr>
      </w:pPr>
      <w:r w:rsidRPr="00394C86">
        <w:rPr>
          <w:color w:val="3C3C3C" w:themeColor="background2" w:themeShade="40"/>
        </w:rPr>
        <w:t>Director of the DFAT Humanitarian Response and Partnerships Section</w:t>
      </w:r>
      <w:r w:rsidR="00E82AD9" w:rsidRPr="00394C86">
        <w:rPr>
          <w:color w:val="3C3C3C" w:themeColor="background2" w:themeShade="40"/>
        </w:rPr>
        <w:t xml:space="preserve"> (Chair)</w:t>
      </w:r>
    </w:p>
    <w:p w14:paraId="2F4A9893" w14:textId="2620D3DF" w:rsidR="009B2AA2" w:rsidRPr="00394C86" w:rsidRDefault="009B2AA2" w:rsidP="009B2AA2">
      <w:pPr>
        <w:pStyle w:val="ListParagraph"/>
        <w:numPr>
          <w:ilvl w:val="0"/>
          <w:numId w:val="16"/>
        </w:numPr>
        <w:spacing w:before="120" w:after="120" w:line="276" w:lineRule="auto"/>
        <w:rPr>
          <w:color w:val="3C3C3C" w:themeColor="background2" w:themeShade="40"/>
        </w:rPr>
      </w:pPr>
      <w:r w:rsidRPr="00394C86">
        <w:rPr>
          <w:color w:val="3C3C3C" w:themeColor="background2" w:themeShade="40"/>
        </w:rPr>
        <w:t xml:space="preserve">One representative from each </w:t>
      </w:r>
      <w:r w:rsidR="00E82AD9" w:rsidRPr="00394C86">
        <w:rPr>
          <w:color w:val="3C3C3C" w:themeColor="background2" w:themeShade="40"/>
        </w:rPr>
        <w:t xml:space="preserve">of the six </w:t>
      </w:r>
      <w:r w:rsidRPr="00394C86">
        <w:rPr>
          <w:color w:val="3C3C3C" w:themeColor="background2" w:themeShade="40"/>
        </w:rPr>
        <w:t>AHP lead NGO</w:t>
      </w:r>
      <w:r w:rsidR="00E82AD9" w:rsidRPr="00394C86">
        <w:rPr>
          <w:color w:val="3C3C3C" w:themeColor="background2" w:themeShade="40"/>
        </w:rPr>
        <w:t>s</w:t>
      </w:r>
    </w:p>
    <w:p w14:paraId="3024A8F2" w14:textId="1DBCA504" w:rsidR="009B2AA2" w:rsidRPr="00394C86" w:rsidRDefault="00E82AD9" w:rsidP="009B2AA2">
      <w:pPr>
        <w:pStyle w:val="ListParagraph"/>
        <w:numPr>
          <w:ilvl w:val="0"/>
          <w:numId w:val="16"/>
        </w:numPr>
        <w:spacing w:before="120" w:after="120" w:line="276" w:lineRule="auto"/>
        <w:rPr>
          <w:color w:val="3C3C3C" w:themeColor="background2" w:themeShade="40"/>
        </w:rPr>
      </w:pPr>
      <w:r w:rsidRPr="00394C86">
        <w:rPr>
          <w:color w:val="3C3C3C" w:themeColor="background2" w:themeShade="40"/>
        </w:rPr>
        <w:t xml:space="preserve">One position shared </w:t>
      </w:r>
      <w:r w:rsidR="00720AC8" w:rsidRPr="00394C86">
        <w:rPr>
          <w:color w:val="3C3C3C" w:themeColor="background2" w:themeShade="40"/>
        </w:rPr>
        <w:t>b</w:t>
      </w:r>
      <w:r w:rsidR="002C6A84" w:rsidRPr="00394C86">
        <w:rPr>
          <w:color w:val="3C3C3C" w:themeColor="background2" w:themeShade="40"/>
        </w:rPr>
        <w:t>etween</w:t>
      </w:r>
      <w:r w:rsidR="009B2AA2" w:rsidRPr="00394C86">
        <w:rPr>
          <w:color w:val="3C3C3C" w:themeColor="background2" w:themeShade="40"/>
        </w:rPr>
        <w:t xml:space="preserve"> CBM </w:t>
      </w:r>
      <w:r w:rsidR="00720AC8" w:rsidRPr="00394C86">
        <w:rPr>
          <w:color w:val="3C3C3C" w:themeColor="background2" w:themeShade="40"/>
        </w:rPr>
        <w:t xml:space="preserve">and the </w:t>
      </w:r>
      <w:r w:rsidR="009B2AA2" w:rsidRPr="00394C86">
        <w:rPr>
          <w:color w:val="3C3C3C" w:themeColor="background2" w:themeShade="40"/>
        </w:rPr>
        <w:t>Pacific Disability Forum</w:t>
      </w:r>
      <w:r w:rsidR="001A17F9" w:rsidRPr="00394C86">
        <w:rPr>
          <w:rStyle w:val="FootnoteReference"/>
          <w:color w:val="3C3C3C" w:themeColor="background2" w:themeShade="40"/>
        </w:rPr>
        <w:footnoteReference w:id="44"/>
      </w:r>
    </w:p>
    <w:p w14:paraId="09721C64" w14:textId="77777777" w:rsidR="009B2AA2" w:rsidRPr="00394C86" w:rsidRDefault="009B2AA2" w:rsidP="009B2AA2">
      <w:pPr>
        <w:pStyle w:val="ListParagraph"/>
        <w:numPr>
          <w:ilvl w:val="0"/>
          <w:numId w:val="16"/>
        </w:numPr>
        <w:spacing w:before="120" w:after="120" w:line="276" w:lineRule="auto"/>
        <w:rPr>
          <w:color w:val="3C3C3C" w:themeColor="background2" w:themeShade="40"/>
        </w:rPr>
      </w:pPr>
      <w:r w:rsidRPr="00394C86">
        <w:rPr>
          <w:color w:val="3C3C3C" w:themeColor="background2" w:themeShade="40"/>
        </w:rPr>
        <w:t>One representative from the AHP SU</w:t>
      </w:r>
    </w:p>
    <w:p w14:paraId="7B462A36" w14:textId="6CD51965" w:rsidR="008149A2" w:rsidRPr="00394C86" w:rsidRDefault="008149A2" w:rsidP="009B2AA2">
      <w:pPr>
        <w:pStyle w:val="ListParagraph"/>
        <w:numPr>
          <w:ilvl w:val="0"/>
          <w:numId w:val="16"/>
        </w:numPr>
        <w:spacing w:before="120" w:after="120" w:line="276" w:lineRule="auto"/>
        <w:rPr>
          <w:color w:val="3C3C3C" w:themeColor="background2" w:themeShade="40"/>
        </w:rPr>
      </w:pPr>
      <w:r w:rsidRPr="00394C86">
        <w:rPr>
          <w:color w:val="3C3C3C" w:themeColor="background2" w:themeShade="40"/>
        </w:rPr>
        <w:t xml:space="preserve">The </w:t>
      </w:r>
      <w:r w:rsidR="002C6A84" w:rsidRPr="00394C86">
        <w:rPr>
          <w:color w:val="3C3C3C" w:themeColor="background2" w:themeShade="40"/>
        </w:rPr>
        <w:t>C</w:t>
      </w:r>
      <w:r w:rsidRPr="00394C86">
        <w:rPr>
          <w:color w:val="3C3C3C" w:themeColor="background2" w:themeShade="40"/>
        </w:rPr>
        <w:t xml:space="preserve">ountry </w:t>
      </w:r>
      <w:r w:rsidR="002C6A84" w:rsidRPr="00394C86">
        <w:rPr>
          <w:color w:val="3C3C3C" w:themeColor="background2" w:themeShade="40"/>
        </w:rPr>
        <w:t>C</w:t>
      </w:r>
      <w:r w:rsidRPr="00394C86">
        <w:rPr>
          <w:color w:val="3C3C3C" w:themeColor="background2" w:themeShade="40"/>
        </w:rPr>
        <w:t>ommittee coordinator can attend as an observer</w:t>
      </w:r>
    </w:p>
    <w:p w14:paraId="79B7DEF3" w14:textId="69134AE4" w:rsidR="009B2AA2" w:rsidRPr="00394C86" w:rsidRDefault="009F33FE" w:rsidP="009B2AA2">
      <w:pPr>
        <w:spacing w:after="120" w:line="276" w:lineRule="auto"/>
        <w:rPr>
          <w:color w:val="3C3C3C" w:themeColor="background2" w:themeShade="40"/>
          <w:lang w:val="en-AU"/>
        </w:rPr>
      </w:pPr>
      <w:r w:rsidRPr="00394C86">
        <w:rPr>
          <w:color w:val="3C3C3C" w:themeColor="background2" w:themeShade="40"/>
          <w:lang w:val="en-AU"/>
        </w:rPr>
        <w:t>The Committee will aim to achieve gender balance</w:t>
      </w:r>
      <w:r w:rsidR="002C6A84" w:rsidRPr="00394C86">
        <w:rPr>
          <w:color w:val="3C3C3C" w:themeColor="background2" w:themeShade="40"/>
          <w:lang w:val="en-AU"/>
        </w:rPr>
        <w:t>.</w:t>
      </w:r>
    </w:p>
    <w:p w14:paraId="1DF0FA14" w14:textId="77777777" w:rsidR="009B2AA2" w:rsidRPr="00394C86" w:rsidRDefault="009B2AA2" w:rsidP="009B2AA2">
      <w:pPr>
        <w:spacing w:after="120" w:line="276" w:lineRule="auto"/>
        <w:rPr>
          <w:b/>
          <w:i/>
          <w:color w:val="3C3C3C" w:themeColor="background2" w:themeShade="40"/>
          <w:lang w:val="en-AU"/>
        </w:rPr>
      </w:pPr>
      <w:r w:rsidRPr="00394C86">
        <w:rPr>
          <w:b/>
          <w:i/>
          <w:color w:val="3C3C3C" w:themeColor="background2" w:themeShade="40"/>
          <w:lang w:val="en-AU"/>
        </w:rPr>
        <w:t>Functions</w:t>
      </w:r>
    </w:p>
    <w:p w14:paraId="40B69706" w14:textId="463C2AEE" w:rsidR="009B2AA2" w:rsidRPr="00394C86" w:rsidRDefault="009B2AA2" w:rsidP="009B2AA2">
      <w:pPr>
        <w:pStyle w:val="ListParagraph"/>
        <w:numPr>
          <w:ilvl w:val="0"/>
          <w:numId w:val="17"/>
        </w:numPr>
        <w:spacing w:before="120" w:after="120" w:line="276" w:lineRule="auto"/>
        <w:rPr>
          <w:color w:val="3C3C3C" w:themeColor="background2" w:themeShade="40"/>
        </w:rPr>
      </w:pPr>
      <w:r w:rsidRPr="00394C86">
        <w:rPr>
          <w:color w:val="3C3C3C" w:themeColor="background2" w:themeShade="40"/>
        </w:rPr>
        <w:t xml:space="preserve">Review </w:t>
      </w:r>
      <w:r w:rsidR="002732C5" w:rsidRPr="00394C86">
        <w:rPr>
          <w:color w:val="3C3C3C" w:themeColor="background2" w:themeShade="40"/>
        </w:rPr>
        <w:t xml:space="preserve">and endorse </w:t>
      </w:r>
      <w:r w:rsidRPr="00394C86">
        <w:rPr>
          <w:color w:val="3C3C3C" w:themeColor="background2" w:themeShade="40"/>
        </w:rPr>
        <w:t xml:space="preserve">country results and </w:t>
      </w:r>
      <w:r w:rsidR="003B7DE7" w:rsidRPr="00394C86">
        <w:rPr>
          <w:color w:val="3C3C3C" w:themeColor="background2" w:themeShade="40"/>
        </w:rPr>
        <w:t xml:space="preserve">activity </w:t>
      </w:r>
      <w:r w:rsidRPr="00394C86">
        <w:rPr>
          <w:color w:val="3C3C3C" w:themeColor="background2" w:themeShade="40"/>
        </w:rPr>
        <w:t>plans against overall program outcomes and objectives</w:t>
      </w:r>
      <w:r w:rsidR="002C6A84" w:rsidRPr="00394C86">
        <w:rPr>
          <w:color w:val="3C3C3C" w:themeColor="background2" w:themeShade="40"/>
        </w:rPr>
        <w:t>.</w:t>
      </w:r>
    </w:p>
    <w:p w14:paraId="37CC9F24" w14:textId="0D47D464" w:rsidR="009B2AA2" w:rsidRPr="001659D9" w:rsidRDefault="009B2AA2" w:rsidP="00720AC8">
      <w:pPr>
        <w:pStyle w:val="ListParagraph"/>
        <w:numPr>
          <w:ilvl w:val="0"/>
          <w:numId w:val="17"/>
        </w:numPr>
        <w:spacing w:before="120" w:after="120" w:line="276" w:lineRule="auto"/>
        <w:rPr>
          <w:color w:val="3C3C3C" w:themeColor="background2" w:themeShade="40"/>
        </w:rPr>
      </w:pPr>
      <w:r w:rsidRPr="00394C86">
        <w:rPr>
          <w:color w:val="3C3C3C" w:themeColor="background2" w:themeShade="40"/>
        </w:rPr>
        <w:t>Make recommendations on program strategy issues and emerging priorities</w:t>
      </w:r>
      <w:r w:rsidR="00720AC8" w:rsidRPr="00394C86">
        <w:rPr>
          <w:color w:val="3C3C3C" w:themeColor="background2" w:themeShade="40"/>
        </w:rPr>
        <w:t xml:space="preserve">, </w:t>
      </w:r>
      <w:r w:rsidR="00720AC8" w:rsidRPr="001659D9">
        <w:rPr>
          <w:color w:val="3C3C3C" w:themeColor="background2" w:themeShade="40"/>
        </w:rPr>
        <w:t>including coordination and learning with regional disaster and climate programs</w:t>
      </w:r>
      <w:r w:rsidR="00CC08BA" w:rsidRPr="00394C86">
        <w:rPr>
          <w:color w:val="3C3C3C" w:themeColor="background2" w:themeShade="40"/>
        </w:rPr>
        <w:t xml:space="preserve"> such as APCCAP</w:t>
      </w:r>
      <w:r w:rsidR="002C6A84" w:rsidRPr="00394C86">
        <w:rPr>
          <w:color w:val="3C3C3C" w:themeColor="background2" w:themeShade="40"/>
        </w:rPr>
        <w:t>.</w:t>
      </w:r>
    </w:p>
    <w:p w14:paraId="4001F960" w14:textId="2502293A" w:rsidR="009B2AA2" w:rsidRPr="00394C86" w:rsidRDefault="009B2AA2" w:rsidP="009B2AA2">
      <w:pPr>
        <w:pStyle w:val="ListParagraph"/>
        <w:numPr>
          <w:ilvl w:val="0"/>
          <w:numId w:val="17"/>
        </w:numPr>
        <w:spacing w:before="120" w:after="120" w:line="276" w:lineRule="auto"/>
        <w:rPr>
          <w:color w:val="3C3C3C" w:themeColor="background2" w:themeShade="40"/>
        </w:rPr>
      </w:pPr>
      <w:r w:rsidRPr="00394C86">
        <w:rPr>
          <w:color w:val="3C3C3C" w:themeColor="background2" w:themeShade="40"/>
        </w:rPr>
        <w:t>Identify priorities for thematic evaluations and communications materials</w:t>
      </w:r>
      <w:r w:rsidR="000001E0" w:rsidRPr="00394C86">
        <w:rPr>
          <w:color w:val="3C3C3C" w:themeColor="background2" w:themeShade="40"/>
        </w:rPr>
        <w:t xml:space="preserve">, taking the views of </w:t>
      </w:r>
      <w:r w:rsidR="00A670C6" w:rsidRPr="00394C86">
        <w:rPr>
          <w:color w:val="3C3C3C" w:themeColor="background2" w:themeShade="40"/>
        </w:rPr>
        <w:t>C</w:t>
      </w:r>
      <w:r w:rsidR="000001E0" w:rsidRPr="00394C86">
        <w:rPr>
          <w:color w:val="3C3C3C" w:themeColor="background2" w:themeShade="40"/>
        </w:rPr>
        <w:t xml:space="preserve">ountry </w:t>
      </w:r>
      <w:r w:rsidR="00A670C6" w:rsidRPr="00394C86">
        <w:rPr>
          <w:color w:val="3C3C3C" w:themeColor="background2" w:themeShade="40"/>
        </w:rPr>
        <w:t>C</w:t>
      </w:r>
      <w:r w:rsidR="000001E0" w:rsidRPr="00394C86">
        <w:rPr>
          <w:color w:val="3C3C3C" w:themeColor="background2" w:themeShade="40"/>
        </w:rPr>
        <w:t>ommittees into account</w:t>
      </w:r>
      <w:r w:rsidR="002C6A84" w:rsidRPr="00394C86">
        <w:rPr>
          <w:color w:val="3C3C3C" w:themeColor="background2" w:themeShade="40"/>
        </w:rPr>
        <w:t>.</w:t>
      </w:r>
    </w:p>
    <w:p w14:paraId="26C8B4CA" w14:textId="5EF457EE" w:rsidR="009B2AA2" w:rsidRPr="00394C86" w:rsidRDefault="009B2AA2" w:rsidP="009B2AA2">
      <w:pPr>
        <w:pStyle w:val="ListParagraph"/>
        <w:numPr>
          <w:ilvl w:val="0"/>
          <w:numId w:val="17"/>
        </w:numPr>
        <w:spacing w:before="120" w:after="120" w:line="276" w:lineRule="auto"/>
        <w:rPr>
          <w:color w:val="3C3C3C" w:themeColor="background2" w:themeShade="40"/>
        </w:rPr>
      </w:pPr>
      <w:r w:rsidRPr="00394C86">
        <w:rPr>
          <w:color w:val="3C3C3C" w:themeColor="background2" w:themeShade="40"/>
        </w:rPr>
        <w:t>Identify challenges or issues requiring management responses</w:t>
      </w:r>
      <w:r w:rsidR="002C6A84" w:rsidRPr="00394C86">
        <w:rPr>
          <w:color w:val="3C3C3C" w:themeColor="background2" w:themeShade="40"/>
        </w:rPr>
        <w:t>.</w:t>
      </w:r>
    </w:p>
    <w:p w14:paraId="7CCC65D9" w14:textId="6AD071D3" w:rsidR="009B2AA2" w:rsidRPr="00394C86" w:rsidRDefault="001A17F9" w:rsidP="009B2AA2">
      <w:pPr>
        <w:pStyle w:val="ListParagraph"/>
        <w:numPr>
          <w:ilvl w:val="0"/>
          <w:numId w:val="17"/>
        </w:numPr>
        <w:spacing w:before="120" w:after="120" w:line="276" w:lineRule="auto"/>
        <w:rPr>
          <w:color w:val="3C3C3C" w:themeColor="background2" w:themeShade="40"/>
        </w:rPr>
      </w:pPr>
      <w:r w:rsidRPr="00394C86">
        <w:rPr>
          <w:color w:val="3C3C3C" w:themeColor="background2" w:themeShade="40"/>
        </w:rPr>
        <w:t>Review and endorse</w:t>
      </w:r>
      <w:r w:rsidR="009B2AA2" w:rsidRPr="00394C86">
        <w:rPr>
          <w:color w:val="3C3C3C" w:themeColor="background2" w:themeShade="40"/>
        </w:rPr>
        <w:t xml:space="preserve"> the selection criteria for each round of the PPF</w:t>
      </w:r>
      <w:r w:rsidR="000001E0" w:rsidRPr="00394C86">
        <w:rPr>
          <w:color w:val="3C3C3C" w:themeColor="background2" w:themeShade="40"/>
        </w:rPr>
        <w:t xml:space="preserve">, taking the views of </w:t>
      </w:r>
      <w:r w:rsidR="00A670C6" w:rsidRPr="00394C86">
        <w:rPr>
          <w:color w:val="3C3C3C" w:themeColor="background2" w:themeShade="40"/>
        </w:rPr>
        <w:t>C</w:t>
      </w:r>
      <w:r w:rsidR="000001E0" w:rsidRPr="00394C86">
        <w:rPr>
          <w:color w:val="3C3C3C" w:themeColor="background2" w:themeShade="40"/>
        </w:rPr>
        <w:t xml:space="preserve">ountry </w:t>
      </w:r>
      <w:r w:rsidR="00A670C6" w:rsidRPr="00394C86">
        <w:rPr>
          <w:color w:val="3C3C3C" w:themeColor="background2" w:themeShade="40"/>
        </w:rPr>
        <w:t>C</w:t>
      </w:r>
      <w:r w:rsidR="000001E0" w:rsidRPr="00394C86">
        <w:rPr>
          <w:color w:val="3C3C3C" w:themeColor="background2" w:themeShade="40"/>
        </w:rPr>
        <w:t>ommi</w:t>
      </w:r>
      <w:r w:rsidR="00106244" w:rsidRPr="00394C86">
        <w:rPr>
          <w:color w:val="3C3C3C" w:themeColor="background2" w:themeShade="40"/>
        </w:rPr>
        <w:t>t</w:t>
      </w:r>
      <w:r w:rsidR="000001E0" w:rsidRPr="00394C86">
        <w:rPr>
          <w:color w:val="3C3C3C" w:themeColor="background2" w:themeShade="40"/>
        </w:rPr>
        <w:t>tees into account</w:t>
      </w:r>
      <w:r w:rsidR="002C6A84" w:rsidRPr="00394C86">
        <w:rPr>
          <w:color w:val="3C3C3C" w:themeColor="background2" w:themeShade="40"/>
        </w:rPr>
        <w:t>.</w:t>
      </w:r>
    </w:p>
    <w:p w14:paraId="61BA4575" w14:textId="59AB9453" w:rsidR="00720AC8" w:rsidRPr="001659D9" w:rsidRDefault="009B2AA2" w:rsidP="00720AC8">
      <w:pPr>
        <w:pStyle w:val="ListParagraph"/>
        <w:numPr>
          <w:ilvl w:val="0"/>
          <w:numId w:val="17"/>
        </w:numPr>
        <w:spacing w:before="120" w:after="120" w:line="276" w:lineRule="auto"/>
        <w:rPr>
          <w:color w:val="3C3C3C" w:themeColor="background2" w:themeShade="40"/>
        </w:rPr>
      </w:pPr>
      <w:r w:rsidRPr="00394C86">
        <w:rPr>
          <w:color w:val="3C3C3C" w:themeColor="background2" w:themeShade="40"/>
        </w:rPr>
        <w:t xml:space="preserve">Review and </w:t>
      </w:r>
      <w:r w:rsidR="001A17F9" w:rsidRPr="00394C86">
        <w:rPr>
          <w:color w:val="3C3C3C" w:themeColor="background2" w:themeShade="40"/>
        </w:rPr>
        <w:t>endorse</w:t>
      </w:r>
      <w:r w:rsidRPr="00394C86">
        <w:rPr>
          <w:color w:val="3C3C3C" w:themeColor="background2" w:themeShade="40"/>
        </w:rPr>
        <w:t xml:space="preserve"> the terms of reference for the independent evaluation of the program in </w:t>
      </w:r>
      <w:r w:rsidR="00106244" w:rsidRPr="00394C86">
        <w:rPr>
          <w:color w:val="3C3C3C" w:themeColor="background2" w:themeShade="40"/>
        </w:rPr>
        <w:t>Year 4</w:t>
      </w:r>
      <w:r w:rsidR="000001E0" w:rsidRPr="00394C86">
        <w:rPr>
          <w:color w:val="3C3C3C" w:themeColor="background2" w:themeShade="40"/>
        </w:rPr>
        <w:t xml:space="preserve">, taking the views of </w:t>
      </w:r>
      <w:r w:rsidR="00A670C6" w:rsidRPr="00394C86">
        <w:rPr>
          <w:color w:val="3C3C3C" w:themeColor="background2" w:themeShade="40"/>
        </w:rPr>
        <w:t>C</w:t>
      </w:r>
      <w:r w:rsidR="000001E0" w:rsidRPr="00394C86">
        <w:rPr>
          <w:color w:val="3C3C3C" w:themeColor="background2" w:themeShade="40"/>
        </w:rPr>
        <w:t xml:space="preserve">ountry </w:t>
      </w:r>
      <w:r w:rsidR="00A670C6" w:rsidRPr="00394C86">
        <w:rPr>
          <w:color w:val="3C3C3C" w:themeColor="background2" w:themeShade="40"/>
        </w:rPr>
        <w:t>C</w:t>
      </w:r>
      <w:r w:rsidR="000001E0" w:rsidRPr="00394C86">
        <w:rPr>
          <w:color w:val="3C3C3C" w:themeColor="background2" w:themeShade="40"/>
        </w:rPr>
        <w:t>ommittees into account</w:t>
      </w:r>
      <w:r w:rsidRPr="00394C86">
        <w:rPr>
          <w:color w:val="3C3C3C" w:themeColor="background2" w:themeShade="40"/>
        </w:rPr>
        <w:t>.</w:t>
      </w:r>
    </w:p>
    <w:p w14:paraId="77FD84A2" w14:textId="77777777" w:rsidR="009B2AA2" w:rsidRPr="00394C86" w:rsidRDefault="009B2AA2" w:rsidP="009B2AA2">
      <w:pPr>
        <w:spacing w:after="120" w:line="276" w:lineRule="auto"/>
        <w:rPr>
          <w:b/>
          <w:i/>
          <w:color w:val="3C3C3C" w:themeColor="background2" w:themeShade="40"/>
          <w:lang w:val="en-AU"/>
        </w:rPr>
      </w:pPr>
      <w:r w:rsidRPr="00394C86">
        <w:rPr>
          <w:b/>
          <w:i/>
          <w:color w:val="3C3C3C" w:themeColor="background2" w:themeShade="40"/>
          <w:lang w:val="en-AU"/>
        </w:rPr>
        <w:t>Meetings</w:t>
      </w:r>
    </w:p>
    <w:p w14:paraId="53D643F8" w14:textId="192271A0" w:rsidR="009B2AA2" w:rsidRPr="00394C86" w:rsidRDefault="009B2AA2" w:rsidP="001659D9">
      <w:pPr>
        <w:widowControl w:val="0"/>
        <w:autoSpaceDE w:val="0"/>
        <w:autoSpaceDN w:val="0"/>
        <w:adjustRightInd w:val="0"/>
        <w:spacing w:before="0" w:after="240" w:line="360" w:lineRule="atLeast"/>
        <w:rPr>
          <w:color w:val="3C3C3C" w:themeColor="background2" w:themeShade="40"/>
          <w:lang w:val="en-AU"/>
        </w:rPr>
      </w:pPr>
      <w:r w:rsidRPr="00394C86">
        <w:rPr>
          <w:color w:val="3C3C3C" w:themeColor="background2" w:themeShade="40"/>
          <w:lang w:val="en-AU"/>
        </w:rPr>
        <w:t xml:space="preserve">Steering Committee meetings will be held quarterly in </w:t>
      </w:r>
      <w:r w:rsidR="00106244" w:rsidRPr="00394C86">
        <w:rPr>
          <w:color w:val="3C3C3C" w:themeColor="background2" w:themeShade="40"/>
          <w:lang w:val="en-AU"/>
        </w:rPr>
        <w:t>Y</w:t>
      </w:r>
      <w:r w:rsidRPr="00394C86">
        <w:rPr>
          <w:color w:val="3C3C3C" w:themeColor="background2" w:themeShade="40"/>
          <w:lang w:val="en-AU"/>
        </w:rPr>
        <w:t xml:space="preserve">ear </w:t>
      </w:r>
      <w:r w:rsidR="00106244" w:rsidRPr="00394C86">
        <w:rPr>
          <w:color w:val="3C3C3C" w:themeColor="background2" w:themeShade="40"/>
          <w:lang w:val="en-AU"/>
        </w:rPr>
        <w:t>1</w:t>
      </w:r>
      <w:r w:rsidRPr="00394C86">
        <w:rPr>
          <w:color w:val="3C3C3C" w:themeColor="background2" w:themeShade="40"/>
          <w:lang w:val="en-AU"/>
        </w:rPr>
        <w:t xml:space="preserve"> (at the same time as AHP quarterly meetings) and six</w:t>
      </w:r>
      <w:r w:rsidR="00A670C6" w:rsidRPr="00394C86">
        <w:rPr>
          <w:color w:val="3C3C3C" w:themeColor="background2" w:themeShade="40"/>
          <w:lang w:val="en-AU"/>
        </w:rPr>
        <w:t>-</w:t>
      </w:r>
      <w:r w:rsidRPr="00394C86">
        <w:rPr>
          <w:color w:val="3C3C3C" w:themeColor="background2" w:themeShade="40"/>
          <w:lang w:val="en-AU"/>
        </w:rPr>
        <w:t xml:space="preserve">monthly thereafter. </w:t>
      </w:r>
      <w:r w:rsidR="00720AC8" w:rsidRPr="00394C86">
        <w:rPr>
          <w:color w:val="3C3C3C" w:themeColor="background2" w:themeShade="40"/>
          <w:lang w:val="en-AU"/>
        </w:rPr>
        <w:t>M</w:t>
      </w:r>
      <w:r w:rsidRPr="00394C86">
        <w:rPr>
          <w:color w:val="3C3C3C" w:themeColor="background2" w:themeShade="40"/>
          <w:lang w:val="en-AU"/>
        </w:rPr>
        <w:t xml:space="preserve">eetings will be based in Australia. The AHP SU will be responsible for calling meetings, preparing the agenda and minutes, and supporting the Committee </w:t>
      </w:r>
      <w:r w:rsidRPr="00394C86">
        <w:rPr>
          <w:color w:val="3C3C3C" w:themeColor="background2" w:themeShade="40"/>
          <w:lang w:val="en-AU"/>
        </w:rPr>
        <w:lastRenderedPageBreak/>
        <w:t xml:space="preserve">Chair as required. </w:t>
      </w:r>
      <w:r w:rsidR="00BD1DA8" w:rsidRPr="00394C86">
        <w:rPr>
          <w:color w:val="3C3C3C" w:themeColor="background2" w:themeShade="40"/>
          <w:lang w:val="en-AU"/>
        </w:rPr>
        <w:t xml:space="preserve">Meeting minutes will be shared with </w:t>
      </w:r>
      <w:r w:rsidR="009D0B2B" w:rsidRPr="00394C86">
        <w:rPr>
          <w:color w:val="3C3C3C" w:themeColor="background2" w:themeShade="40"/>
          <w:lang w:val="en-AU"/>
        </w:rPr>
        <w:t>Country Committee</w:t>
      </w:r>
      <w:r w:rsidR="00BD1DA8" w:rsidRPr="00394C86">
        <w:rPr>
          <w:color w:val="3C3C3C" w:themeColor="background2" w:themeShade="40"/>
          <w:lang w:val="en-AU"/>
        </w:rPr>
        <w:t>s.</w:t>
      </w:r>
      <w:r w:rsidR="00F376B4" w:rsidRPr="00394C86">
        <w:rPr>
          <w:color w:val="3C3C3C" w:themeColor="background2" w:themeShade="40"/>
          <w:lang w:val="en-AU"/>
        </w:rPr>
        <w:t xml:space="preserve"> </w:t>
      </w:r>
      <w:r w:rsidR="00106244" w:rsidRPr="00394C86">
        <w:rPr>
          <w:color w:val="3C3C3C" w:themeColor="background2" w:themeShade="40"/>
          <w:lang w:val="en-AU"/>
        </w:rPr>
        <w:t xml:space="preserve"> </w:t>
      </w:r>
    </w:p>
    <w:p w14:paraId="5DFA6A84" w14:textId="596DB667" w:rsidR="009B2AA2" w:rsidRPr="00394C86" w:rsidRDefault="009B2AA2" w:rsidP="009B2AA2">
      <w:pPr>
        <w:spacing w:after="120" w:line="276" w:lineRule="auto"/>
        <w:rPr>
          <w:b/>
          <w:color w:val="3C3C3C" w:themeColor="background2" w:themeShade="40"/>
          <w:lang w:val="en-AU"/>
        </w:rPr>
      </w:pPr>
      <w:r w:rsidRPr="00394C86">
        <w:rPr>
          <w:b/>
          <w:color w:val="3C3C3C" w:themeColor="background2" w:themeShade="40"/>
          <w:lang w:val="en-AU"/>
        </w:rPr>
        <w:t xml:space="preserve">Disaster READY </w:t>
      </w:r>
      <w:r w:rsidR="009D0B2B" w:rsidRPr="00394C86">
        <w:rPr>
          <w:b/>
          <w:color w:val="3C3C3C" w:themeColor="background2" w:themeShade="40"/>
          <w:lang w:val="en-AU"/>
        </w:rPr>
        <w:t>Country Committee</w:t>
      </w:r>
      <w:r w:rsidRPr="00394C86">
        <w:rPr>
          <w:b/>
          <w:color w:val="3C3C3C" w:themeColor="background2" w:themeShade="40"/>
          <w:lang w:val="en-AU"/>
        </w:rPr>
        <w:t xml:space="preserve">s </w:t>
      </w:r>
    </w:p>
    <w:p w14:paraId="6AD53998" w14:textId="18182E59" w:rsidR="009B2AA2" w:rsidRPr="00394C86" w:rsidRDefault="009B2AA2" w:rsidP="009B2AA2">
      <w:pPr>
        <w:spacing w:after="120" w:line="276" w:lineRule="auto"/>
        <w:rPr>
          <w:color w:val="3C3C3C" w:themeColor="background2" w:themeShade="40"/>
          <w:lang w:val="en-AU"/>
        </w:rPr>
      </w:pPr>
      <w:r w:rsidRPr="00394C86">
        <w:rPr>
          <w:color w:val="3C3C3C" w:themeColor="background2" w:themeShade="40"/>
          <w:lang w:val="en-AU"/>
        </w:rPr>
        <w:t xml:space="preserve">AHP NGOs implementing in each country and a representative from the relevant </w:t>
      </w:r>
      <w:r w:rsidR="004E09BA" w:rsidRPr="00394C86">
        <w:rPr>
          <w:color w:val="3C3C3C" w:themeColor="background2" w:themeShade="40"/>
          <w:lang w:val="en-AU"/>
        </w:rPr>
        <w:t>DPO</w:t>
      </w:r>
      <w:r w:rsidRPr="00394C86">
        <w:rPr>
          <w:color w:val="3C3C3C" w:themeColor="background2" w:themeShade="40"/>
          <w:lang w:val="en-AU"/>
        </w:rPr>
        <w:t xml:space="preserve"> </w:t>
      </w:r>
      <w:r w:rsidR="004E09BA" w:rsidRPr="00394C86">
        <w:rPr>
          <w:color w:val="3C3C3C" w:themeColor="background2" w:themeShade="40"/>
          <w:lang w:val="en-AU"/>
        </w:rPr>
        <w:t>form</w:t>
      </w:r>
      <w:r w:rsidRPr="00394C86">
        <w:rPr>
          <w:color w:val="3C3C3C" w:themeColor="background2" w:themeShade="40"/>
          <w:lang w:val="en-AU"/>
        </w:rPr>
        <w:t xml:space="preserve"> the membership of </w:t>
      </w:r>
      <w:r w:rsidR="009D0B2B" w:rsidRPr="00394C86">
        <w:rPr>
          <w:color w:val="3C3C3C" w:themeColor="background2" w:themeShade="40"/>
          <w:lang w:val="en-AU"/>
        </w:rPr>
        <w:t>Country Committee</w:t>
      </w:r>
      <w:r w:rsidRPr="00394C86">
        <w:rPr>
          <w:color w:val="3C3C3C" w:themeColor="background2" w:themeShade="40"/>
          <w:lang w:val="en-AU"/>
        </w:rPr>
        <w:t xml:space="preserve">s (see Annex 12 for details). Decisions will be by </w:t>
      </w:r>
      <w:r w:rsidR="004E09BA" w:rsidRPr="00394C86">
        <w:rPr>
          <w:color w:val="3C3C3C" w:themeColor="background2" w:themeShade="40"/>
          <w:lang w:val="en-AU"/>
        </w:rPr>
        <w:t>consensus</w:t>
      </w:r>
      <w:r w:rsidRPr="00394C86">
        <w:rPr>
          <w:color w:val="3C3C3C" w:themeColor="background2" w:themeShade="40"/>
          <w:lang w:val="en-AU"/>
        </w:rPr>
        <w:t xml:space="preserve"> or by vote where consensus cannot be reached.</w:t>
      </w:r>
      <w:r w:rsidR="009F33FE" w:rsidRPr="00394C86">
        <w:rPr>
          <w:color w:val="3C3C3C" w:themeColor="background2" w:themeShade="40"/>
          <w:lang w:val="en-AU"/>
        </w:rPr>
        <w:t xml:space="preserve">  Committees will aim for gender balance and representation by nationals (see Annex 12 for data).</w:t>
      </w:r>
    </w:p>
    <w:p w14:paraId="110F6ECA" w14:textId="26662AEA" w:rsidR="009B2AA2" w:rsidRPr="00394C86" w:rsidRDefault="009B2AA2" w:rsidP="009B2AA2">
      <w:pPr>
        <w:spacing w:after="120" w:line="276" w:lineRule="auto"/>
        <w:rPr>
          <w:color w:val="3C3C3C" w:themeColor="background2" w:themeShade="40"/>
          <w:lang w:val="en-AU"/>
        </w:rPr>
      </w:pPr>
      <w:r w:rsidRPr="00394C86">
        <w:rPr>
          <w:color w:val="3C3C3C" w:themeColor="background2" w:themeShade="40"/>
          <w:lang w:val="en-AU"/>
        </w:rPr>
        <w:t xml:space="preserve">Funding to enable coordination ($30,000 annually) is included as part of the </w:t>
      </w:r>
      <w:r w:rsidR="00BF1A40" w:rsidRPr="00394C86">
        <w:rPr>
          <w:color w:val="3C3C3C" w:themeColor="background2" w:themeShade="40"/>
          <w:lang w:val="en-AU"/>
        </w:rPr>
        <w:t>Shared Services</w:t>
      </w:r>
      <w:r w:rsidRPr="00394C86">
        <w:rPr>
          <w:color w:val="3C3C3C" w:themeColor="background2" w:themeShade="40"/>
          <w:lang w:val="en-AU"/>
        </w:rPr>
        <w:t xml:space="preserve"> budget to provide a level of cost</w:t>
      </w:r>
      <w:r w:rsidR="004E09BA" w:rsidRPr="00394C86">
        <w:rPr>
          <w:color w:val="3C3C3C" w:themeColor="background2" w:themeShade="40"/>
          <w:lang w:val="en-AU"/>
        </w:rPr>
        <w:t xml:space="preserve"> </w:t>
      </w:r>
      <w:r w:rsidRPr="001659D9">
        <w:rPr>
          <w:color w:val="2C2C2C" w:themeColor="text1"/>
          <w:lang w:val="en-AU"/>
        </w:rPr>
        <w:t xml:space="preserve">recovery for a Committee Coordinator who will be nominated by an AHP NGO on a rotating basis. It is recognised that the </w:t>
      </w:r>
      <w:r w:rsidR="009D0B2B" w:rsidRPr="001659D9">
        <w:rPr>
          <w:color w:val="2C2C2C" w:themeColor="text1"/>
          <w:lang w:val="en-AU"/>
        </w:rPr>
        <w:t>Country Committee</w:t>
      </w:r>
      <w:r w:rsidRPr="001659D9">
        <w:rPr>
          <w:color w:val="2C2C2C" w:themeColor="text1"/>
          <w:lang w:val="en-AU"/>
        </w:rPr>
        <w:t xml:space="preserve"> Coordinator role requires a level of leadership as the position maintains representational functions on behalf of the AHP NGOs in each country. </w:t>
      </w:r>
      <w:r w:rsidR="008D5C3B" w:rsidRPr="001659D9">
        <w:rPr>
          <w:color w:val="2C2C2C" w:themeColor="text1"/>
          <w:lang w:val="en-AU"/>
        </w:rPr>
        <w:t xml:space="preserve">The Coordinator’s role includes government and DFAT engagement. </w:t>
      </w:r>
      <w:r w:rsidRPr="001659D9">
        <w:rPr>
          <w:color w:val="2C2C2C" w:themeColor="text1"/>
          <w:lang w:val="en-AU"/>
        </w:rPr>
        <w:t>Given this, the coordinating AHP NGO ha</w:t>
      </w:r>
      <w:r w:rsidR="00A72A1F" w:rsidRPr="001659D9">
        <w:rPr>
          <w:color w:val="2C2C2C" w:themeColor="text1"/>
          <w:lang w:val="en-AU"/>
        </w:rPr>
        <w:t>s</w:t>
      </w:r>
      <w:r w:rsidRPr="001659D9">
        <w:rPr>
          <w:color w:val="2C2C2C" w:themeColor="text1"/>
          <w:lang w:val="en-AU"/>
        </w:rPr>
        <w:t xml:space="preserve"> been encouraged to nominate senior staff, such as a country or program director. The coordinating NGO is accountable to the other AHP NGOs represented on the </w:t>
      </w:r>
      <w:r w:rsidR="009D0B2B" w:rsidRPr="001659D9">
        <w:rPr>
          <w:color w:val="2C2C2C" w:themeColor="text1"/>
          <w:lang w:val="en-AU"/>
        </w:rPr>
        <w:t>Country Committee</w:t>
      </w:r>
      <w:r w:rsidRPr="001659D9">
        <w:rPr>
          <w:color w:val="2C2C2C" w:themeColor="text1"/>
          <w:lang w:val="en-AU"/>
        </w:rPr>
        <w:t xml:space="preserve">. </w:t>
      </w:r>
    </w:p>
    <w:p w14:paraId="6A7D3710" w14:textId="32984A84" w:rsidR="0050301C" w:rsidRPr="00394C86" w:rsidRDefault="0050301C" w:rsidP="009B2AA2">
      <w:pPr>
        <w:spacing w:after="120" w:line="276" w:lineRule="auto"/>
        <w:rPr>
          <w:color w:val="3C3C3C" w:themeColor="background2" w:themeShade="40"/>
          <w:lang w:val="en-AU"/>
        </w:rPr>
      </w:pPr>
      <w:r w:rsidRPr="00394C86">
        <w:rPr>
          <w:color w:val="3C3C3C" w:themeColor="background2" w:themeShade="40"/>
          <w:lang w:val="en-AU"/>
        </w:rPr>
        <w:t xml:space="preserve">Shared </w:t>
      </w:r>
      <w:r w:rsidR="004D11F6" w:rsidRPr="00394C86">
        <w:rPr>
          <w:color w:val="3C3C3C" w:themeColor="background2" w:themeShade="40"/>
          <w:lang w:val="en-AU"/>
        </w:rPr>
        <w:t>S</w:t>
      </w:r>
      <w:r w:rsidRPr="00394C86">
        <w:rPr>
          <w:color w:val="3C3C3C" w:themeColor="background2" w:themeShade="40"/>
          <w:lang w:val="en-AU"/>
        </w:rPr>
        <w:t xml:space="preserve">ervices </w:t>
      </w:r>
      <w:r w:rsidRPr="001659D9">
        <w:rPr>
          <w:rFonts w:eastAsia="Times New Roman"/>
          <w:color w:val="3C3C3C" w:themeColor="background2" w:themeShade="40"/>
        </w:rPr>
        <w:t xml:space="preserve">supports improved practice on gender equality, disability inclusion and child protection in humanitarian preparedness and response.  In each country NGOs have been nominated by the </w:t>
      </w:r>
      <w:r w:rsidR="004D11F6" w:rsidRPr="001659D9">
        <w:rPr>
          <w:rFonts w:eastAsia="Times New Roman"/>
          <w:color w:val="3C3C3C" w:themeColor="background2" w:themeShade="40"/>
        </w:rPr>
        <w:t>C</w:t>
      </w:r>
      <w:r w:rsidRPr="001659D9">
        <w:rPr>
          <w:rFonts w:eastAsia="Times New Roman"/>
          <w:color w:val="3C3C3C" w:themeColor="background2" w:themeShade="40"/>
        </w:rPr>
        <w:t xml:space="preserve">ountry </w:t>
      </w:r>
      <w:r w:rsidR="004D11F6" w:rsidRPr="001659D9">
        <w:rPr>
          <w:rFonts w:eastAsia="Times New Roman"/>
          <w:color w:val="3C3C3C" w:themeColor="background2" w:themeShade="40"/>
        </w:rPr>
        <w:t>C</w:t>
      </w:r>
      <w:r w:rsidRPr="001659D9">
        <w:rPr>
          <w:rFonts w:eastAsia="Times New Roman"/>
          <w:color w:val="3C3C3C" w:themeColor="background2" w:themeShade="40"/>
        </w:rPr>
        <w:t>ommittee to lead on gender, disabil</w:t>
      </w:r>
      <w:r w:rsidR="006363DA" w:rsidRPr="001659D9">
        <w:rPr>
          <w:rFonts w:eastAsia="Times New Roman"/>
          <w:color w:val="3C3C3C" w:themeColor="background2" w:themeShade="40"/>
        </w:rPr>
        <w:t>ity or</w:t>
      </w:r>
      <w:r w:rsidRPr="001659D9">
        <w:rPr>
          <w:rFonts w:eastAsia="Times New Roman"/>
          <w:color w:val="3C3C3C" w:themeColor="background2" w:themeShade="40"/>
        </w:rPr>
        <w:t xml:space="preserve"> child protection based on their </w:t>
      </w:r>
      <w:r w:rsidRPr="001659D9">
        <w:rPr>
          <w:rFonts w:eastAsia="Times New Roman"/>
          <w:color w:val="3C3C3C" w:themeColor="background2" w:themeShade="40"/>
          <w:lang w:val="en-AU"/>
        </w:rPr>
        <w:t xml:space="preserve">recognised </w:t>
      </w:r>
      <w:r w:rsidRPr="001659D9">
        <w:rPr>
          <w:rFonts w:eastAsia="Times New Roman"/>
          <w:color w:val="3C3C3C" w:themeColor="background2" w:themeShade="40"/>
        </w:rPr>
        <w:t>exp</w:t>
      </w:r>
      <w:r w:rsidR="006363DA" w:rsidRPr="001659D9">
        <w:rPr>
          <w:rFonts w:eastAsia="Times New Roman"/>
          <w:color w:val="3C3C3C" w:themeColor="background2" w:themeShade="40"/>
        </w:rPr>
        <w:t xml:space="preserve">ertise in the area. Shared </w:t>
      </w:r>
      <w:r w:rsidR="004D11F6" w:rsidRPr="001659D9">
        <w:rPr>
          <w:rFonts w:eastAsia="Times New Roman"/>
          <w:color w:val="3C3C3C" w:themeColor="background2" w:themeShade="40"/>
        </w:rPr>
        <w:t>S</w:t>
      </w:r>
      <w:r w:rsidR="006363DA" w:rsidRPr="001659D9">
        <w:rPr>
          <w:rFonts w:eastAsia="Times New Roman"/>
          <w:color w:val="3C3C3C" w:themeColor="background2" w:themeShade="40"/>
        </w:rPr>
        <w:t xml:space="preserve">ervices funding supports the lead </w:t>
      </w:r>
      <w:r w:rsidR="00A72A1F" w:rsidRPr="00394C86">
        <w:rPr>
          <w:rFonts w:eastAsia="Times New Roman"/>
          <w:color w:val="3C3C3C" w:themeColor="background2" w:themeShade="40"/>
        </w:rPr>
        <w:t xml:space="preserve">NGO </w:t>
      </w:r>
      <w:r w:rsidR="006363DA" w:rsidRPr="00394C86">
        <w:rPr>
          <w:rFonts w:eastAsia="Times New Roman"/>
          <w:color w:val="3C3C3C" w:themeColor="background2" w:themeShade="40"/>
        </w:rPr>
        <w:t xml:space="preserve">to deliver a program of joint learning and practice improvement across </w:t>
      </w:r>
      <w:r w:rsidR="004D11F6" w:rsidRPr="00394C86">
        <w:rPr>
          <w:rFonts w:eastAsia="Times New Roman"/>
          <w:color w:val="3C3C3C" w:themeColor="background2" w:themeShade="40"/>
        </w:rPr>
        <w:t>C</w:t>
      </w:r>
      <w:r w:rsidR="006363DA" w:rsidRPr="00394C86">
        <w:rPr>
          <w:rFonts w:eastAsia="Times New Roman"/>
          <w:color w:val="3C3C3C" w:themeColor="background2" w:themeShade="40"/>
        </w:rPr>
        <w:t xml:space="preserve">ountry </w:t>
      </w:r>
      <w:r w:rsidR="004D11F6" w:rsidRPr="00394C86">
        <w:rPr>
          <w:rFonts w:eastAsia="Times New Roman"/>
          <w:color w:val="3C3C3C" w:themeColor="background2" w:themeShade="40"/>
        </w:rPr>
        <w:t>C</w:t>
      </w:r>
      <w:r w:rsidR="006363DA" w:rsidRPr="00394C86">
        <w:rPr>
          <w:rFonts w:eastAsia="Times New Roman"/>
          <w:color w:val="3C3C3C" w:themeColor="background2" w:themeShade="40"/>
        </w:rPr>
        <w:t>ommittee members</w:t>
      </w:r>
      <w:r w:rsidR="00A72A1F" w:rsidRPr="00394C86">
        <w:rPr>
          <w:rFonts w:eastAsia="Times New Roman"/>
          <w:color w:val="3C3C3C" w:themeColor="background2" w:themeShade="40"/>
        </w:rPr>
        <w:t>. T</w:t>
      </w:r>
      <w:r w:rsidR="006363DA" w:rsidRPr="001659D9">
        <w:rPr>
          <w:rFonts w:eastAsia="Times New Roman"/>
          <w:color w:val="3C3C3C" w:themeColor="background2" w:themeShade="40"/>
        </w:rPr>
        <w:t xml:space="preserve">his </w:t>
      </w:r>
      <w:r w:rsidR="00A72A1F" w:rsidRPr="00394C86">
        <w:rPr>
          <w:rFonts w:eastAsia="Times New Roman"/>
          <w:color w:val="3C3C3C" w:themeColor="background2" w:themeShade="40"/>
        </w:rPr>
        <w:t xml:space="preserve">program </w:t>
      </w:r>
      <w:r w:rsidR="006363DA" w:rsidRPr="001659D9">
        <w:rPr>
          <w:rFonts w:eastAsia="Times New Roman"/>
          <w:color w:val="3C3C3C" w:themeColor="background2" w:themeShade="40"/>
        </w:rPr>
        <w:t>will be assessed</w:t>
      </w:r>
      <w:r w:rsidR="00103F1A" w:rsidRPr="001659D9">
        <w:rPr>
          <w:rFonts w:eastAsia="Times New Roman"/>
          <w:color w:val="3C3C3C" w:themeColor="background2" w:themeShade="40"/>
        </w:rPr>
        <w:t xml:space="preserve"> and plans</w:t>
      </w:r>
      <w:r w:rsidR="00A72A1F" w:rsidRPr="00394C86">
        <w:rPr>
          <w:rFonts w:eastAsia="Times New Roman"/>
          <w:color w:val="3C3C3C" w:themeColor="background2" w:themeShade="40"/>
        </w:rPr>
        <w:t xml:space="preserve"> will be</w:t>
      </w:r>
      <w:r w:rsidR="00103F1A" w:rsidRPr="001659D9">
        <w:rPr>
          <w:rFonts w:eastAsia="Times New Roman"/>
          <w:color w:val="3C3C3C" w:themeColor="background2" w:themeShade="40"/>
        </w:rPr>
        <w:t xml:space="preserve"> updated</w:t>
      </w:r>
      <w:r w:rsidR="00141633" w:rsidRPr="001659D9">
        <w:rPr>
          <w:rFonts w:eastAsia="Times New Roman"/>
          <w:color w:val="3C3C3C" w:themeColor="background2" w:themeShade="40"/>
        </w:rPr>
        <w:t xml:space="preserve"> during </w:t>
      </w:r>
      <w:r w:rsidR="004D11F6" w:rsidRPr="001659D9">
        <w:rPr>
          <w:rFonts w:eastAsia="Times New Roman"/>
          <w:color w:val="3C3C3C" w:themeColor="background2" w:themeShade="40"/>
        </w:rPr>
        <w:t xml:space="preserve">the </w:t>
      </w:r>
      <w:r w:rsidR="00141633" w:rsidRPr="001659D9">
        <w:rPr>
          <w:rFonts w:eastAsia="Times New Roman"/>
          <w:color w:val="3C3C3C" w:themeColor="background2" w:themeShade="40"/>
        </w:rPr>
        <w:t>annual review</w:t>
      </w:r>
      <w:r w:rsidR="006363DA" w:rsidRPr="001659D9">
        <w:rPr>
          <w:rFonts w:eastAsia="Times New Roman"/>
          <w:color w:val="3C3C3C" w:themeColor="background2" w:themeShade="40"/>
        </w:rPr>
        <w:t>.</w:t>
      </w:r>
    </w:p>
    <w:p w14:paraId="1819E485" w14:textId="7F98127A" w:rsidR="009B2AA2" w:rsidRPr="00394C86" w:rsidRDefault="009B2AA2" w:rsidP="009B2AA2">
      <w:pPr>
        <w:spacing w:after="120" w:line="276" w:lineRule="auto"/>
        <w:rPr>
          <w:color w:val="3C3C3C" w:themeColor="background2" w:themeShade="40"/>
          <w:lang w:val="en-AU"/>
        </w:rPr>
      </w:pPr>
      <w:r w:rsidRPr="00394C86">
        <w:rPr>
          <w:color w:val="3C3C3C" w:themeColor="background2" w:themeShade="40"/>
          <w:lang w:val="en-AU"/>
        </w:rPr>
        <w:t xml:space="preserve">Where a dispute cannot be resolved by the </w:t>
      </w:r>
      <w:r w:rsidR="004D11F6" w:rsidRPr="00394C86">
        <w:rPr>
          <w:color w:val="3C3C3C" w:themeColor="background2" w:themeShade="40"/>
          <w:lang w:val="en-AU"/>
        </w:rPr>
        <w:t>C</w:t>
      </w:r>
      <w:r w:rsidRPr="00394C86">
        <w:rPr>
          <w:color w:val="3C3C3C" w:themeColor="background2" w:themeShade="40"/>
          <w:lang w:val="en-AU"/>
        </w:rPr>
        <w:t xml:space="preserve">ountry </w:t>
      </w:r>
      <w:r w:rsidR="004D11F6" w:rsidRPr="00394C86">
        <w:rPr>
          <w:color w:val="3C3C3C" w:themeColor="background2" w:themeShade="40"/>
          <w:lang w:val="en-AU"/>
        </w:rPr>
        <w:t>C</w:t>
      </w:r>
      <w:r w:rsidRPr="00394C86">
        <w:rPr>
          <w:color w:val="3C3C3C" w:themeColor="background2" w:themeShade="40"/>
          <w:lang w:val="en-AU"/>
        </w:rPr>
        <w:t>ommittee</w:t>
      </w:r>
      <w:r w:rsidR="00A72A1F" w:rsidRPr="00394C86">
        <w:rPr>
          <w:color w:val="3C3C3C" w:themeColor="background2" w:themeShade="40"/>
          <w:lang w:val="en-AU"/>
        </w:rPr>
        <w:t>,</w:t>
      </w:r>
      <w:r w:rsidRPr="00394C86">
        <w:rPr>
          <w:color w:val="3C3C3C" w:themeColor="background2" w:themeShade="40"/>
          <w:lang w:val="en-AU"/>
        </w:rPr>
        <w:t xml:space="preserve"> the issue should be escalated by the coordinating NGO to the </w:t>
      </w:r>
      <w:r w:rsidRPr="00394C86">
        <w:rPr>
          <w:rFonts w:eastAsia="Times New Roman"/>
          <w:color w:val="3C3C3C" w:themeColor="background2" w:themeShade="40"/>
          <w:lang w:val="en-AU"/>
        </w:rPr>
        <w:t>AHP SU</w:t>
      </w:r>
      <w:r w:rsidRPr="00394C86">
        <w:rPr>
          <w:color w:val="3C3C3C" w:themeColor="background2" w:themeShade="40"/>
          <w:lang w:val="en-AU"/>
        </w:rPr>
        <w:t xml:space="preserve"> and then to the DFAT representative on the Steering Committee.</w:t>
      </w:r>
    </w:p>
    <w:p w14:paraId="34609171" w14:textId="0809C62A" w:rsidR="009B2AA2" w:rsidRPr="00394C86" w:rsidRDefault="009B2AA2" w:rsidP="009B2AA2">
      <w:pPr>
        <w:spacing w:after="120" w:line="276" w:lineRule="auto"/>
        <w:rPr>
          <w:color w:val="3C3C3C" w:themeColor="background2" w:themeShade="40"/>
          <w:lang w:val="en-AU"/>
        </w:rPr>
      </w:pPr>
      <w:r w:rsidRPr="00394C86">
        <w:rPr>
          <w:color w:val="3C3C3C" w:themeColor="background2" w:themeShade="40"/>
          <w:lang w:val="en-AU"/>
        </w:rPr>
        <w:t>Other stakeholders can be invited to attend committee meetings as non-voting representatives. Key stakeholders include DFAT Post, the NDMO or other relevant government ministries, national Red Cross</w:t>
      </w:r>
      <w:r w:rsidR="00F048D0" w:rsidRPr="00394C86">
        <w:rPr>
          <w:color w:val="3C3C3C" w:themeColor="background2" w:themeShade="40"/>
          <w:lang w:val="en-AU"/>
        </w:rPr>
        <w:t>,</w:t>
      </w:r>
      <w:r w:rsidRPr="00394C86">
        <w:rPr>
          <w:color w:val="3C3C3C" w:themeColor="background2" w:themeShade="40"/>
          <w:lang w:val="en-AU"/>
        </w:rPr>
        <w:t xml:space="preserve"> and </w:t>
      </w:r>
      <w:r w:rsidR="008330DB" w:rsidRPr="00394C86">
        <w:rPr>
          <w:color w:val="3C3C3C" w:themeColor="background2" w:themeShade="40"/>
          <w:lang w:val="en-AU"/>
        </w:rPr>
        <w:t xml:space="preserve">women’s and other </w:t>
      </w:r>
      <w:r w:rsidRPr="00394C86">
        <w:rPr>
          <w:color w:val="3C3C3C" w:themeColor="background2" w:themeShade="40"/>
          <w:lang w:val="en-AU"/>
        </w:rPr>
        <w:t>NGOs or UN agencies.</w:t>
      </w:r>
    </w:p>
    <w:p w14:paraId="77B86EB2" w14:textId="77777777" w:rsidR="009B2AA2" w:rsidRPr="00394C86" w:rsidRDefault="009B2AA2" w:rsidP="009B2AA2">
      <w:pPr>
        <w:spacing w:after="120" w:line="276" w:lineRule="auto"/>
        <w:rPr>
          <w:b/>
          <w:i/>
          <w:color w:val="3C3C3C" w:themeColor="background2" w:themeShade="40"/>
          <w:lang w:val="en-AU"/>
        </w:rPr>
      </w:pPr>
      <w:r w:rsidRPr="00394C86">
        <w:rPr>
          <w:b/>
          <w:i/>
          <w:color w:val="3C3C3C" w:themeColor="background2" w:themeShade="40"/>
          <w:lang w:val="en-AU"/>
        </w:rPr>
        <w:t>Functions</w:t>
      </w:r>
    </w:p>
    <w:p w14:paraId="797B89E9" w14:textId="029545DF" w:rsidR="009B2AA2" w:rsidRPr="00394C86" w:rsidRDefault="009B2AA2" w:rsidP="009B2AA2">
      <w:pPr>
        <w:spacing w:after="120" w:line="276" w:lineRule="auto"/>
        <w:rPr>
          <w:color w:val="3C3C3C" w:themeColor="background2" w:themeShade="40"/>
          <w:lang w:val="en-AU"/>
        </w:rPr>
      </w:pPr>
      <w:r w:rsidRPr="00394C86">
        <w:rPr>
          <w:color w:val="3C3C3C" w:themeColor="background2" w:themeShade="40"/>
          <w:lang w:val="en-AU"/>
        </w:rPr>
        <w:t xml:space="preserve">The </w:t>
      </w:r>
      <w:r w:rsidRPr="00394C86">
        <w:rPr>
          <w:b/>
          <w:color w:val="3C3C3C" w:themeColor="background2" w:themeShade="40"/>
          <w:lang w:val="en-AU"/>
        </w:rPr>
        <w:t>purpose</w:t>
      </w:r>
      <w:r w:rsidRPr="00394C86">
        <w:rPr>
          <w:color w:val="3C3C3C" w:themeColor="background2" w:themeShade="40"/>
          <w:lang w:val="en-AU"/>
        </w:rPr>
        <w:t xml:space="preserve"> of the </w:t>
      </w:r>
      <w:r w:rsidR="004D11F6" w:rsidRPr="00394C86">
        <w:rPr>
          <w:color w:val="3C3C3C" w:themeColor="background2" w:themeShade="40"/>
          <w:lang w:val="en-AU"/>
        </w:rPr>
        <w:t>C</w:t>
      </w:r>
      <w:r w:rsidRPr="00394C86">
        <w:rPr>
          <w:color w:val="3C3C3C" w:themeColor="background2" w:themeShade="40"/>
          <w:lang w:val="en-AU"/>
        </w:rPr>
        <w:t xml:space="preserve">ountry </w:t>
      </w:r>
      <w:r w:rsidR="004D11F6" w:rsidRPr="00394C86">
        <w:rPr>
          <w:color w:val="3C3C3C" w:themeColor="background2" w:themeShade="40"/>
          <w:lang w:val="en-AU"/>
        </w:rPr>
        <w:t>C</w:t>
      </w:r>
      <w:r w:rsidRPr="00394C86">
        <w:rPr>
          <w:color w:val="3C3C3C" w:themeColor="background2" w:themeShade="40"/>
          <w:lang w:val="en-AU"/>
        </w:rPr>
        <w:t>ommittee is to improve disaster preparedness by:</w:t>
      </w:r>
    </w:p>
    <w:p w14:paraId="1366BB8A" w14:textId="33A62AB1" w:rsidR="009B2AA2" w:rsidRPr="00394C86" w:rsidRDefault="00B33775" w:rsidP="009B2AA2">
      <w:pPr>
        <w:numPr>
          <w:ilvl w:val="0"/>
          <w:numId w:val="14"/>
        </w:numPr>
        <w:spacing w:after="120" w:line="276" w:lineRule="auto"/>
        <w:contextualSpacing/>
        <w:rPr>
          <w:color w:val="3C3C3C" w:themeColor="background2" w:themeShade="40"/>
          <w:lang w:val="en-AU"/>
        </w:rPr>
      </w:pPr>
      <w:r w:rsidRPr="00394C86">
        <w:rPr>
          <w:color w:val="3C3C3C" w:themeColor="background2" w:themeShade="40"/>
          <w:lang w:val="en-AU"/>
        </w:rPr>
        <w:t>i</w:t>
      </w:r>
      <w:r w:rsidR="009B2AA2" w:rsidRPr="00394C86">
        <w:rPr>
          <w:color w:val="3C3C3C" w:themeColor="background2" w:themeShade="40"/>
          <w:lang w:val="en-AU"/>
        </w:rPr>
        <w:t>ncreasing the reach, geographic coverage</w:t>
      </w:r>
      <w:r w:rsidRPr="00394C86">
        <w:rPr>
          <w:color w:val="3C3C3C" w:themeColor="background2" w:themeShade="40"/>
          <w:lang w:val="en-AU"/>
        </w:rPr>
        <w:t>,</w:t>
      </w:r>
      <w:r w:rsidR="009B2AA2" w:rsidRPr="00394C86">
        <w:rPr>
          <w:color w:val="3C3C3C" w:themeColor="background2" w:themeShade="40"/>
          <w:lang w:val="en-AU"/>
        </w:rPr>
        <w:t xml:space="preserve"> and effectiveness of the NGOs’ work</w:t>
      </w:r>
      <w:r w:rsidRPr="00394C86">
        <w:rPr>
          <w:color w:val="3C3C3C" w:themeColor="background2" w:themeShade="40"/>
          <w:lang w:val="en-AU"/>
        </w:rPr>
        <w:t>;</w:t>
      </w:r>
    </w:p>
    <w:p w14:paraId="67355567" w14:textId="08C0A85D" w:rsidR="009B2AA2" w:rsidRPr="00394C86" w:rsidRDefault="00B33775" w:rsidP="009B2AA2">
      <w:pPr>
        <w:numPr>
          <w:ilvl w:val="0"/>
          <w:numId w:val="14"/>
        </w:numPr>
        <w:spacing w:after="120" w:line="276" w:lineRule="auto"/>
        <w:contextualSpacing/>
        <w:rPr>
          <w:color w:val="3C3C3C" w:themeColor="background2" w:themeShade="40"/>
          <w:lang w:val="en-AU"/>
        </w:rPr>
      </w:pPr>
      <w:r w:rsidRPr="00394C86">
        <w:rPr>
          <w:color w:val="3C3C3C" w:themeColor="background2" w:themeShade="40"/>
          <w:lang w:val="en-AU"/>
        </w:rPr>
        <w:t>s</w:t>
      </w:r>
      <w:r w:rsidR="009B2AA2" w:rsidRPr="00394C86">
        <w:rPr>
          <w:color w:val="3C3C3C" w:themeColor="background2" w:themeShade="40"/>
          <w:lang w:val="en-AU"/>
        </w:rPr>
        <w:t>upporting consistency, collaboration and coordination</w:t>
      </w:r>
      <w:r w:rsidRPr="00394C86">
        <w:rPr>
          <w:color w:val="3C3C3C" w:themeColor="background2" w:themeShade="40"/>
          <w:lang w:val="en-AU"/>
        </w:rPr>
        <w:t>;</w:t>
      </w:r>
    </w:p>
    <w:p w14:paraId="041A3A12" w14:textId="6207BD04" w:rsidR="009B2AA2" w:rsidRPr="00394C86" w:rsidRDefault="00B33775" w:rsidP="009B2AA2">
      <w:pPr>
        <w:numPr>
          <w:ilvl w:val="0"/>
          <w:numId w:val="14"/>
        </w:numPr>
        <w:spacing w:after="120" w:line="276" w:lineRule="auto"/>
        <w:contextualSpacing/>
        <w:rPr>
          <w:color w:val="3C3C3C" w:themeColor="background2" w:themeShade="40"/>
          <w:lang w:val="en-AU"/>
        </w:rPr>
      </w:pPr>
      <w:r w:rsidRPr="00394C86">
        <w:rPr>
          <w:color w:val="3C3C3C" w:themeColor="background2" w:themeShade="40"/>
          <w:lang w:val="en-AU"/>
        </w:rPr>
        <w:t>p</w:t>
      </w:r>
      <w:r w:rsidR="009B2AA2" w:rsidRPr="00394C86">
        <w:rPr>
          <w:color w:val="3C3C3C" w:themeColor="background2" w:themeShade="40"/>
          <w:lang w:val="en-AU"/>
        </w:rPr>
        <w:t>reventing duplication</w:t>
      </w:r>
      <w:r w:rsidRPr="00394C86">
        <w:rPr>
          <w:color w:val="3C3C3C" w:themeColor="background2" w:themeShade="40"/>
          <w:lang w:val="en-AU"/>
        </w:rPr>
        <w:t>;</w:t>
      </w:r>
    </w:p>
    <w:p w14:paraId="7D327C5B" w14:textId="24778392" w:rsidR="009B2AA2" w:rsidRPr="00394C86" w:rsidRDefault="00B33775" w:rsidP="009B2AA2">
      <w:pPr>
        <w:numPr>
          <w:ilvl w:val="0"/>
          <w:numId w:val="14"/>
        </w:numPr>
        <w:spacing w:after="120" w:line="276" w:lineRule="auto"/>
        <w:contextualSpacing/>
        <w:rPr>
          <w:color w:val="3C3C3C" w:themeColor="background2" w:themeShade="40"/>
          <w:lang w:val="en-AU"/>
        </w:rPr>
      </w:pPr>
      <w:r w:rsidRPr="00394C86">
        <w:rPr>
          <w:color w:val="3C3C3C" w:themeColor="background2" w:themeShade="40"/>
          <w:lang w:val="en-AU"/>
        </w:rPr>
        <w:t>i</w:t>
      </w:r>
      <w:r w:rsidR="009B2AA2" w:rsidRPr="00394C86">
        <w:rPr>
          <w:color w:val="3C3C3C" w:themeColor="background2" w:themeShade="40"/>
          <w:lang w:val="en-AU"/>
        </w:rPr>
        <w:t>ncreas</w:t>
      </w:r>
      <w:r w:rsidRPr="00394C86">
        <w:rPr>
          <w:color w:val="3C3C3C" w:themeColor="background2" w:themeShade="40"/>
          <w:lang w:val="en-AU"/>
        </w:rPr>
        <w:t>ing</w:t>
      </w:r>
      <w:r w:rsidR="009B2AA2" w:rsidRPr="00394C86">
        <w:rPr>
          <w:color w:val="3C3C3C" w:themeColor="background2" w:themeShade="40"/>
          <w:lang w:val="en-AU"/>
        </w:rPr>
        <w:t xml:space="preserve"> efficiency by pooling resources and expertise</w:t>
      </w:r>
      <w:r w:rsidRPr="00394C86">
        <w:rPr>
          <w:color w:val="3C3C3C" w:themeColor="background2" w:themeShade="40"/>
          <w:lang w:val="en-AU"/>
        </w:rPr>
        <w:t>; and</w:t>
      </w:r>
      <w:r w:rsidR="009B2AA2" w:rsidRPr="00394C86">
        <w:rPr>
          <w:color w:val="3C3C3C" w:themeColor="background2" w:themeShade="40"/>
          <w:lang w:val="en-AU"/>
        </w:rPr>
        <w:t xml:space="preserve"> </w:t>
      </w:r>
    </w:p>
    <w:p w14:paraId="14D9BBA1" w14:textId="17FF2BF8" w:rsidR="009B2AA2" w:rsidRPr="00394C86" w:rsidRDefault="00B33775" w:rsidP="009B2AA2">
      <w:pPr>
        <w:numPr>
          <w:ilvl w:val="0"/>
          <w:numId w:val="14"/>
        </w:numPr>
        <w:spacing w:after="120" w:line="276" w:lineRule="auto"/>
        <w:contextualSpacing/>
        <w:rPr>
          <w:color w:val="3C3C3C" w:themeColor="background2" w:themeShade="40"/>
          <w:lang w:val="en-AU"/>
        </w:rPr>
      </w:pPr>
      <w:r w:rsidRPr="00394C86">
        <w:rPr>
          <w:color w:val="3C3C3C" w:themeColor="background2" w:themeShade="40"/>
          <w:lang w:val="en-AU"/>
        </w:rPr>
        <w:t>e</w:t>
      </w:r>
      <w:r w:rsidR="009B2AA2" w:rsidRPr="00394C86">
        <w:rPr>
          <w:color w:val="3C3C3C" w:themeColor="background2" w:themeShade="40"/>
          <w:lang w:val="en-AU"/>
        </w:rPr>
        <w:t>nabling greater influence on the humanitarian system</w:t>
      </w:r>
      <w:r w:rsidR="00F048D0" w:rsidRPr="00394C86">
        <w:rPr>
          <w:color w:val="3C3C3C" w:themeColor="background2" w:themeShade="40"/>
          <w:lang w:val="en-AU"/>
        </w:rPr>
        <w:t>.</w:t>
      </w:r>
      <w:r w:rsidR="009B2AA2" w:rsidRPr="00394C86">
        <w:rPr>
          <w:color w:val="3C3C3C" w:themeColor="background2" w:themeShade="40"/>
          <w:lang w:val="en-AU"/>
        </w:rPr>
        <w:t xml:space="preserve"> </w:t>
      </w:r>
    </w:p>
    <w:p w14:paraId="7FFFB9AB" w14:textId="77777777" w:rsidR="009B2AA2" w:rsidRPr="00394C86" w:rsidRDefault="009B2AA2" w:rsidP="009B2AA2">
      <w:pPr>
        <w:spacing w:after="120" w:line="276" w:lineRule="auto"/>
        <w:ind w:left="770"/>
        <w:contextualSpacing/>
        <w:rPr>
          <w:color w:val="3C3C3C" w:themeColor="background2" w:themeShade="40"/>
          <w:lang w:val="en-AU"/>
        </w:rPr>
      </w:pPr>
    </w:p>
    <w:p w14:paraId="1082DF71" w14:textId="49BE1665" w:rsidR="009B2AA2" w:rsidRPr="00394C86" w:rsidRDefault="009B2AA2" w:rsidP="009B2AA2">
      <w:pPr>
        <w:spacing w:after="120" w:line="276" w:lineRule="auto"/>
        <w:rPr>
          <w:color w:val="3C3C3C" w:themeColor="background2" w:themeShade="40"/>
          <w:lang w:val="en-AU"/>
        </w:rPr>
      </w:pPr>
      <w:r w:rsidRPr="00394C86">
        <w:rPr>
          <w:color w:val="3C3C3C" w:themeColor="background2" w:themeShade="40"/>
          <w:lang w:val="en-AU"/>
        </w:rPr>
        <w:t xml:space="preserve">The </w:t>
      </w:r>
      <w:r w:rsidRPr="001659D9">
        <w:rPr>
          <w:b/>
          <w:color w:val="3C3C3C" w:themeColor="background2" w:themeShade="40"/>
          <w:lang w:val="en-AU"/>
        </w:rPr>
        <w:t>functions</w:t>
      </w:r>
      <w:r w:rsidRPr="00394C86">
        <w:rPr>
          <w:color w:val="3C3C3C" w:themeColor="background2" w:themeShade="40"/>
          <w:lang w:val="en-AU"/>
        </w:rPr>
        <w:t xml:space="preserve"> of the </w:t>
      </w:r>
      <w:r w:rsidR="004D11F6" w:rsidRPr="00394C86">
        <w:rPr>
          <w:color w:val="3C3C3C" w:themeColor="background2" w:themeShade="40"/>
          <w:lang w:val="en-AU"/>
        </w:rPr>
        <w:t>C</w:t>
      </w:r>
      <w:r w:rsidRPr="00394C86">
        <w:rPr>
          <w:color w:val="3C3C3C" w:themeColor="background2" w:themeShade="40"/>
          <w:lang w:val="en-AU"/>
        </w:rPr>
        <w:t xml:space="preserve">ountry </w:t>
      </w:r>
      <w:r w:rsidR="004D11F6" w:rsidRPr="00394C86">
        <w:rPr>
          <w:color w:val="3C3C3C" w:themeColor="background2" w:themeShade="40"/>
          <w:lang w:val="en-AU"/>
        </w:rPr>
        <w:t>C</w:t>
      </w:r>
      <w:r w:rsidRPr="00394C86">
        <w:rPr>
          <w:color w:val="3C3C3C" w:themeColor="background2" w:themeShade="40"/>
          <w:lang w:val="en-AU"/>
        </w:rPr>
        <w:t>ommittee:</w:t>
      </w:r>
    </w:p>
    <w:p w14:paraId="07C2B185" w14:textId="7D52437F" w:rsidR="009B2AA2" w:rsidRPr="00394C86" w:rsidRDefault="00B3014C" w:rsidP="009B2AA2">
      <w:pPr>
        <w:numPr>
          <w:ilvl w:val="0"/>
          <w:numId w:val="13"/>
        </w:numPr>
        <w:spacing w:after="120" w:line="276" w:lineRule="auto"/>
        <w:contextualSpacing/>
        <w:rPr>
          <w:color w:val="3C3C3C" w:themeColor="background2" w:themeShade="40"/>
          <w:lang w:val="en-AU"/>
        </w:rPr>
      </w:pPr>
      <w:r w:rsidRPr="00394C86">
        <w:rPr>
          <w:color w:val="3C3C3C" w:themeColor="background2" w:themeShade="40"/>
          <w:lang w:val="en-AU"/>
        </w:rPr>
        <w:t>E</w:t>
      </w:r>
      <w:r w:rsidR="009B2AA2" w:rsidRPr="00394C86">
        <w:rPr>
          <w:color w:val="3C3C3C" w:themeColor="background2" w:themeShade="40"/>
          <w:lang w:val="en-AU"/>
        </w:rPr>
        <w:t xml:space="preserve">nsure coordinated and streamlined engagement between the AHP NGOs and stakeholders in-country (e.g. DFAT, NDMO, </w:t>
      </w:r>
      <w:r w:rsidR="004D11F6" w:rsidRPr="00394C86">
        <w:rPr>
          <w:color w:val="3C3C3C" w:themeColor="background2" w:themeShade="40"/>
          <w:lang w:val="en-AU"/>
        </w:rPr>
        <w:t>w</w:t>
      </w:r>
      <w:r w:rsidR="00DC47AF" w:rsidRPr="00394C86">
        <w:rPr>
          <w:color w:val="3C3C3C" w:themeColor="background2" w:themeShade="40"/>
          <w:lang w:val="en-AU"/>
        </w:rPr>
        <w:t xml:space="preserve">omen’s and other relevant departments, </w:t>
      </w:r>
      <w:r w:rsidR="009B2AA2" w:rsidRPr="00394C86">
        <w:rPr>
          <w:color w:val="3C3C3C" w:themeColor="background2" w:themeShade="40"/>
          <w:lang w:val="en-AU"/>
        </w:rPr>
        <w:t xml:space="preserve">Red Cross, DPOs, </w:t>
      </w:r>
      <w:r w:rsidR="008330DB" w:rsidRPr="00394C86">
        <w:rPr>
          <w:color w:val="3C3C3C" w:themeColor="background2" w:themeShade="40"/>
          <w:lang w:val="en-AU"/>
        </w:rPr>
        <w:t xml:space="preserve">women’s and </w:t>
      </w:r>
      <w:r w:rsidR="009B2AA2" w:rsidRPr="00394C86">
        <w:rPr>
          <w:color w:val="3C3C3C" w:themeColor="background2" w:themeShade="40"/>
          <w:lang w:val="en-AU"/>
        </w:rPr>
        <w:t>other NGOs</w:t>
      </w:r>
      <w:r w:rsidR="00F048D0" w:rsidRPr="00394C86">
        <w:rPr>
          <w:color w:val="3C3C3C" w:themeColor="background2" w:themeShade="40"/>
          <w:lang w:val="en-AU"/>
        </w:rPr>
        <w:t>,</w:t>
      </w:r>
      <w:r w:rsidR="009B2AA2" w:rsidRPr="00394C86">
        <w:rPr>
          <w:color w:val="3C3C3C" w:themeColor="background2" w:themeShade="40"/>
          <w:lang w:val="en-AU"/>
        </w:rPr>
        <w:t xml:space="preserve"> and donors)</w:t>
      </w:r>
    </w:p>
    <w:p w14:paraId="583C35A2" w14:textId="052A0911" w:rsidR="00141633" w:rsidRPr="00394C86" w:rsidRDefault="00B3014C" w:rsidP="009B2AA2">
      <w:pPr>
        <w:numPr>
          <w:ilvl w:val="0"/>
          <w:numId w:val="13"/>
        </w:numPr>
        <w:spacing w:after="120" w:line="276" w:lineRule="auto"/>
        <w:contextualSpacing/>
        <w:rPr>
          <w:color w:val="3C3C3C" w:themeColor="background2" w:themeShade="40"/>
          <w:lang w:val="en-AU"/>
        </w:rPr>
      </w:pPr>
      <w:r w:rsidRPr="00394C86">
        <w:rPr>
          <w:color w:val="3C3C3C" w:themeColor="background2" w:themeShade="40"/>
          <w:lang w:val="en-AU"/>
        </w:rPr>
        <w:lastRenderedPageBreak/>
        <w:t>A</w:t>
      </w:r>
      <w:r w:rsidR="009B2AA2" w:rsidRPr="00394C86">
        <w:rPr>
          <w:color w:val="3C3C3C" w:themeColor="background2" w:themeShade="40"/>
          <w:lang w:val="en-AU"/>
        </w:rPr>
        <w:t>nnually review progress against the country plan</w:t>
      </w:r>
      <w:r w:rsidR="003A5BF1" w:rsidRPr="00394C86">
        <w:rPr>
          <w:color w:val="3C3C3C" w:themeColor="background2" w:themeShade="40"/>
          <w:lang w:val="en-AU"/>
        </w:rPr>
        <w:t xml:space="preserve"> with key stakeholders</w:t>
      </w:r>
      <w:r w:rsidR="00141633" w:rsidRPr="00394C86">
        <w:rPr>
          <w:color w:val="3C3C3C" w:themeColor="background2" w:themeShade="40"/>
          <w:lang w:val="en-AU"/>
        </w:rPr>
        <w:t xml:space="preserve"> and revise </w:t>
      </w:r>
      <w:r w:rsidR="003A5BF1" w:rsidRPr="00394C86">
        <w:rPr>
          <w:color w:val="3C3C3C" w:themeColor="background2" w:themeShade="40"/>
          <w:lang w:val="en-AU"/>
        </w:rPr>
        <w:t xml:space="preserve">the country plan </w:t>
      </w:r>
      <w:r w:rsidR="00141633" w:rsidRPr="00394C86">
        <w:rPr>
          <w:color w:val="3C3C3C" w:themeColor="background2" w:themeShade="40"/>
          <w:lang w:val="en-AU"/>
        </w:rPr>
        <w:t>where necessary (with assistance from the AHP SU). This includes:</w:t>
      </w:r>
    </w:p>
    <w:p w14:paraId="0F818506" w14:textId="2F6861D8" w:rsidR="00141633" w:rsidRPr="00394C86" w:rsidRDefault="00B33775" w:rsidP="00E3786B">
      <w:pPr>
        <w:numPr>
          <w:ilvl w:val="1"/>
          <w:numId w:val="13"/>
        </w:numPr>
        <w:spacing w:after="120" w:line="276" w:lineRule="auto"/>
        <w:contextualSpacing/>
        <w:rPr>
          <w:color w:val="3C3C3C" w:themeColor="background2" w:themeShade="40"/>
          <w:lang w:val="en-AU"/>
        </w:rPr>
      </w:pPr>
      <w:r w:rsidRPr="00394C86">
        <w:rPr>
          <w:color w:val="3C3C3C" w:themeColor="background2" w:themeShade="40"/>
          <w:lang w:val="en-AU"/>
        </w:rPr>
        <w:t>a</w:t>
      </w:r>
      <w:r w:rsidR="00141633" w:rsidRPr="00394C86">
        <w:rPr>
          <w:color w:val="3C3C3C" w:themeColor="background2" w:themeShade="40"/>
          <w:lang w:val="en-AU"/>
        </w:rPr>
        <w:t>ssessing progress against country plan outcomes</w:t>
      </w:r>
    </w:p>
    <w:p w14:paraId="315AB29A" w14:textId="7907F387" w:rsidR="00141633" w:rsidRPr="00394C86" w:rsidRDefault="00B33775" w:rsidP="00E3786B">
      <w:pPr>
        <w:numPr>
          <w:ilvl w:val="1"/>
          <w:numId w:val="13"/>
        </w:numPr>
        <w:spacing w:after="120" w:line="276" w:lineRule="auto"/>
        <w:contextualSpacing/>
        <w:rPr>
          <w:color w:val="3C3C3C" w:themeColor="background2" w:themeShade="40"/>
          <w:lang w:val="en-AU"/>
        </w:rPr>
      </w:pPr>
      <w:r w:rsidRPr="00394C86">
        <w:rPr>
          <w:color w:val="3C3C3C" w:themeColor="background2" w:themeShade="40"/>
          <w:lang w:val="en-AU"/>
        </w:rPr>
        <w:t>a</w:t>
      </w:r>
      <w:r w:rsidR="00141633" w:rsidRPr="00394C86">
        <w:rPr>
          <w:color w:val="3C3C3C" w:themeColor="background2" w:themeShade="40"/>
          <w:lang w:val="en-AU"/>
        </w:rPr>
        <w:t xml:space="preserve">ssessing </w:t>
      </w:r>
      <w:r w:rsidR="009B2AA2" w:rsidRPr="00394C86">
        <w:rPr>
          <w:color w:val="3C3C3C" w:themeColor="background2" w:themeShade="40"/>
          <w:lang w:val="en-AU"/>
        </w:rPr>
        <w:t xml:space="preserve">progress on social inclusion through </w:t>
      </w:r>
      <w:r w:rsidRPr="00394C86">
        <w:rPr>
          <w:color w:val="3C3C3C" w:themeColor="background2" w:themeShade="40"/>
          <w:lang w:val="en-AU"/>
        </w:rPr>
        <w:t>s</w:t>
      </w:r>
      <w:r w:rsidR="009B2AA2" w:rsidRPr="00394C86">
        <w:rPr>
          <w:color w:val="3C3C3C" w:themeColor="background2" w:themeShade="40"/>
          <w:lang w:val="en-AU"/>
        </w:rPr>
        <w:t xml:space="preserve">hared </w:t>
      </w:r>
      <w:r w:rsidRPr="00394C86">
        <w:rPr>
          <w:color w:val="3C3C3C" w:themeColor="background2" w:themeShade="40"/>
          <w:lang w:val="en-AU"/>
        </w:rPr>
        <w:t>s</w:t>
      </w:r>
      <w:r w:rsidR="009B2AA2" w:rsidRPr="00394C86">
        <w:rPr>
          <w:color w:val="3C3C3C" w:themeColor="background2" w:themeShade="40"/>
          <w:lang w:val="en-AU"/>
        </w:rPr>
        <w:t xml:space="preserve">ervices </w:t>
      </w:r>
      <w:r w:rsidR="00141633" w:rsidRPr="00394C86">
        <w:rPr>
          <w:color w:val="3C3C3C" w:themeColor="background2" w:themeShade="40"/>
          <w:lang w:val="en-AU"/>
        </w:rPr>
        <w:t xml:space="preserve">and agreeing on </w:t>
      </w:r>
      <w:r w:rsidR="003A5BF1" w:rsidRPr="00394C86">
        <w:rPr>
          <w:color w:val="3C3C3C" w:themeColor="background2" w:themeShade="40"/>
          <w:lang w:val="en-AU"/>
        </w:rPr>
        <w:t xml:space="preserve">a </w:t>
      </w:r>
      <w:r w:rsidR="00141633" w:rsidRPr="00394C86">
        <w:rPr>
          <w:color w:val="3C3C3C" w:themeColor="background2" w:themeShade="40"/>
          <w:lang w:val="en-AU"/>
        </w:rPr>
        <w:t xml:space="preserve">forward plan for </w:t>
      </w:r>
      <w:r w:rsidR="00F83E02" w:rsidRPr="00394C86">
        <w:rPr>
          <w:color w:val="3C3C3C" w:themeColor="background2" w:themeShade="40"/>
          <w:lang w:val="en-AU"/>
        </w:rPr>
        <w:t>shared s</w:t>
      </w:r>
      <w:r w:rsidR="00BF1A40" w:rsidRPr="00394C86">
        <w:rPr>
          <w:color w:val="3C3C3C" w:themeColor="background2" w:themeShade="40"/>
          <w:lang w:val="en-AU"/>
        </w:rPr>
        <w:t>ervices</w:t>
      </w:r>
    </w:p>
    <w:p w14:paraId="5320E906" w14:textId="4AE3F7F1" w:rsidR="009B2AA2" w:rsidRPr="00394C86" w:rsidRDefault="00B33775" w:rsidP="00E3786B">
      <w:pPr>
        <w:numPr>
          <w:ilvl w:val="1"/>
          <w:numId w:val="13"/>
        </w:numPr>
        <w:spacing w:after="120" w:line="276" w:lineRule="auto"/>
        <w:contextualSpacing/>
        <w:rPr>
          <w:color w:val="3C3C3C" w:themeColor="background2" w:themeShade="40"/>
          <w:lang w:val="en-AU"/>
        </w:rPr>
      </w:pPr>
      <w:r w:rsidRPr="00394C86">
        <w:rPr>
          <w:color w:val="3C3C3C" w:themeColor="background2" w:themeShade="40"/>
          <w:lang w:val="en-AU"/>
        </w:rPr>
        <w:t>r</w:t>
      </w:r>
      <w:r w:rsidR="00141633" w:rsidRPr="00394C86">
        <w:rPr>
          <w:color w:val="3C3C3C" w:themeColor="background2" w:themeShade="40"/>
          <w:lang w:val="en-AU"/>
        </w:rPr>
        <w:t>eviewing changes in the operating environment and risks, and updating the risk register</w:t>
      </w:r>
    </w:p>
    <w:p w14:paraId="30985D61" w14:textId="0C0125CF" w:rsidR="009B2AA2" w:rsidRPr="00394C86" w:rsidRDefault="00B3014C" w:rsidP="009B2AA2">
      <w:pPr>
        <w:numPr>
          <w:ilvl w:val="0"/>
          <w:numId w:val="13"/>
        </w:numPr>
        <w:spacing w:after="120" w:line="276" w:lineRule="auto"/>
        <w:contextualSpacing/>
        <w:rPr>
          <w:color w:val="3C3C3C" w:themeColor="background2" w:themeShade="40"/>
          <w:lang w:val="en-AU"/>
        </w:rPr>
      </w:pPr>
      <w:r w:rsidRPr="00394C86">
        <w:rPr>
          <w:color w:val="3C3C3C" w:themeColor="background2" w:themeShade="40"/>
          <w:lang w:val="en-AU"/>
        </w:rPr>
        <w:t>C</w:t>
      </w:r>
      <w:r w:rsidR="009B2AA2" w:rsidRPr="00394C86">
        <w:rPr>
          <w:color w:val="3C3C3C" w:themeColor="background2" w:themeShade="40"/>
          <w:lang w:val="en-AU"/>
        </w:rPr>
        <w:t>oordinate annual implementation plans</w:t>
      </w:r>
      <w:r w:rsidR="00F048D0" w:rsidRPr="00394C86">
        <w:rPr>
          <w:color w:val="3C3C3C" w:themeColor="background2" w:themeShade="40"/>
          <w:lang w:val="en-AU"/>
        </w:rPr>
        <w:t xml:space="preserve"> </w:t>
      </w:r>
      <w:r w:rsidR="009B2AA2" w:rsidRPr="00394C86">
        <w:rPr>
          <w:color w:val="3C3C3C" w:themeColor="background2" w:themeShade="40"/>
          <w:lang w:val="en-AU"/>
        </w:rPr>
        <w:t>and identify and respond to opportunities for coordinating and collaboration</w:t>
      </w:r>
    </w:p>
    <w:p w14:paraId="60430FAE" w14:textId="23143A50" w:rsidR="009B2AA2" w:rsidRPr="00394C86" w:rsidRDefault="00B3014C" w:rsidP="009B2AA2">
      <w:pPr>
        <w:numPr>
          <w:ilvl w:val="0"/>
          <w:numId w:val="13"/>
        </w:numPr>
        <w:spacing w:after="120" w:line="276" w:lineRule="auto"/>
        <w:contextualSpacing/>
        <w:rPr>
          <w:color w:val="3C3C3C" w:themeColor="background2" w:themeShade="40"/>
          <w:lang w:val="en-AU"/>
        </w:rPr>
      </w:pPr>
      <w:r w:rsidRPr="00394C86">
        <w:rPr>
          <w:color w:val="3C3C3C" w:themeColor="background2" w:themeShade="40"/>
          <w:lang w:val="en-AU"/>
        </w:rPr>
        <w:t>S</w:t>
      </w:r>
      <w:r w:rsidR="009B2AA2" w:rsidRPr="00394C86">
        <w:rPr>
          <w:color w:val="3C3C3C" w:themeColor="background2" w:themeShade="40"/>
          <w:lang w:val="en-AU"/>
        </w:rPr>
        <w:t>upport coordination and communication with the DFAT Posts</w:t>
      </w:r>
    </w:p>
    <w:p w14:paraId="4DA9E3B7" w14:textId="6429B3DA" w:rsidR="00DC47AF" w:rsidRPr="00394C86" w:rsidRDefault="00B3014C" w:rsidP="009B2AA2">
      <w:pPr>
        <w:numPr>
          <w:ilvl w:val="0"/>
          <w:numId w:val="13"/>
        </w:numPr>
        <w:spacing w:after="120" w:line="276" w:lineRule="auto"/>
        <w:contextualSpacing/>
        <w:rPr>
          <w:color w:val="3C3C3C" w:themeColor="background2" w:themeShade="40"/>
          <w:lang w:val="en-AU"/>
        </w:rPr>
      </w:pPr>
      <w:r w:rsidRPr="00394C86">
        <w:rPr>
          <w:color w:val="3C3C3C" w:themeColor="background2" w:themeShade="40"/>
          <w:lang w:val="en-AU"/>
        </w:rPr>
        <w:t>M</w:t>
      </w:r>
      <w:r w:rsidR="00DC47AF" w:rsidRPr="00394C86">
        <w:rPr>
          <w:color w:val="3C3C3C" w:themeColor="background2" w:themeShade="40"/>
          <w:lang w:val="en-AU"/>
        </w:rPr>
        <w:t xml:space="preserve">ake recommendations to the </w:t>
      </w:r>
      <w:r w:rsidR="004D11F6" w:rsidRPr="00394C86">
        <w:rPr>
          <w:color w:val="3C3C3C" w:themeColor="background2" w:themeShade="40"/>
          <w:lang w:val="en-AU"/>
        </w:rPr>
        <w:t>Steering Committee</w:t>
      </w:r>
      <w:r w:rsidR="00DC47AF" w:rsidRPr="00394C86">
        <w:rPr>
          <w:color w:val="3C3C3C" w:themeColor="background2" w:themeShade="40"/>
          <w:lang w:val="en-AU"/>
        </w:rPr>
        <w:t xml:space="preserve"> on strategy issues, emerging priorities, evaluations, communications, </w:t>
      </w:r>
      <w:r w:rsidR="00F048D0" w:rsidRPr="00394C86">
        <w:rPr>
          <w:color w:val="3C3C3C" w:themeColor="background2" w:themeShade="40"/>
          <w:lang w:val="en-AU"/>
        </w:rPr>
        <w:t xml:space="preserve">and </w:t>
      </w:r>
      <w:r w:rsidR="00DC47AF" w:rsidRPr="00394C86">
        <w:rPr>
          <w:color w:val="3C3C3C" w:themeColor="background2" w:themeShade="40"/>
          <w:lang w:val="en-AU"/>
        </w:rPr>
        <w:t>PPF selection criteria</w:t>
      </w:r>
      <w:r w:rsidR="00F048D0" w:rsidRPr="00394C86">
        <w:rPr>
          <w:color w:val="3C3C3C" w:themeColor="background2" w:themeShade="40"/>
          <w:lang w:val="en-AU"/>
        </w:rPr>
        <w:t>,</w:t>
      </w:r>
      <w:r w:rsidR="00DC47AF" w:rsidRPr="00394C86">
        <w:rPr>
          <w:color w:val="3C3C3C" w:themeColor="background2" w:themeShade="40"/>
          <w:lang w:val="en-AU"/>
        </w:rPr>
        <w:t xml:space="preserve"> and identify challenges requiring management responses</w:t>
      </w:r>
    </w:p>
    <w:p w14:paraId="07BD5DF5" w14:textId="77777777" w:rsidR="009B2AA2" w:rsidRPr="00394C86" w:rsidRDefault="009B2AA2" w:rsidP="009B2AA2">
      <w:pPr>
        <w:spacing w:after="120" w:line="276" w:lineRule="auto"/>
        <w:contextualSpacing/>
        <w:rPr>
          <w:color w:val="3C3C3C" w:themeColor="background2" w:themeShade="40"/>
          <w:lang w:val="en-AU"/>
        </w:rPr>
      </w:pPr>
    </w:p>
    <w:p w14:paraId="45560A6A" w14:textId="168BF087" w:rsidR="00F376B4" w:rsidRPr="00394C86" w:rsidRDefault="009D0B2B" w:rsidP="009B2AA2">
      <w:pPr>
        <w:spacing w:after="120" w:line="276" w:lineRule="auto"/>
        <w:rPr>
          <w:color w:val="3C3C3C" w:themeColor="background2" w:themeShade="40"/>
          <w:lang w:val="en-AU"/>
        </w:rPr>
      </w:pPr>
      <w:r w:rsidRPr="00394C86">
        <w:rPr>
          <w:color w:val="3C3C3C" w:themeColor="background2" w:themeShade="40"/>
          <w:lang w:val="en-AU"/>
        </w:rPr>
        <w:t>Country Committee</w:t>
      </w:r>
      <w:r w:rsidR="009B2AA2" w:rsidRPr="00394C86">
        <w:rPr>
          <w:color w:val="3C3C3C" w:themeColor="background2" w:themeShade="40"/>
          <w:lang w:val="en-AU"/>
        </w:rPr>
        <w:t xml:space="preserve"> meetings will be held quarterly. The AHP SU will maintain monthly contact with the </w:t>
      </w:r>
      <w:r w:rsidRPr="00394C86">
        <w:rPr>
          <w:color w:val="3C3C3C" w:themeColor="background2" w:themeShade="40"/>
          <w:lang w:val="en-AU"/>
        </w:rPr>
        <w:t>Country Committee</w:t>
      </w:r>
      <w:r w:rsidR="009B2AA2" w:rsidRPr="00394C86">
        <w:rPr>
          <w:color w:val="3C3C3C" w:themeColor="background2" w:themeShade="40"/>
          <w:lang w:val="en-AU"/>
        </w:rPr>
        <w:t>s through the Committee Coordinator</w:t>
      </w:r>
      <w:r w:rsidR="00F376B4" w:rsidRPr="00394C86">
        <w:rPr>
          <w:color w:val="3C3C3C" w:themeColor="background2" w:themeShade="40"/>
          <w:lang w:val="en-AU"/>
        </w:rPr>
        <w:t xml:space="preserve">. </w:t>
      </w:r>
    </w:p>
    <w:p w14:paraId="146DFB25" w14:textId="11973959" w:rsidR="009B2AA2" w:rsidRPr="00394C86" w:rsidRDefault="009B2AA2" w:rsidP="009B2AA2">
      <w:pPr>
        <w:spacing w:after="120" w:line="276" w:lineRule="auto"/>
        <w:rPr>
          <w:color w:val="3C3C3C" w:themeColor="background2" w:themeShade="40"/>
          <w:lang w:val="en-AU"/>
        </w:rPr>
      </w:pPr>
      <w:r w:rsidRPr="00394C86">
        <w:rPr>
          <w:color w:val="3C3C3C" w:themeColor="background2" w:themeShade="40"/>
          <w:lang w:val="en-AU"/>
        </w:rPr>
        <w:t xml:space="preserve">It should be noted that the </w:t>
      </w:r>
      <w:r w:rsidR="009D0B2B" w:rsidRPr="00394C86">
        <w:rPr>
          <w:color w:val="3C3C3C" w:themeColor="background2" w:themeShade="40"/>
          <w:lang w:val="en-AU"/>
        </w:rPr>
        <w:t>Country Committee</w:t>
      </w:r>
      <w:r w:rsidRPr="00394C86">
        <w:rPr>
          <w:color w:val="3C3C3C" w:themeColor="background2" w:themeShade="40"/>
          <w:lang w:val="en-AU"/>
        </w:rPr>
        <w:t xml:space="preserve"> is intended as a governance mechanism for the Disaster READY program only. It is not intended to play a role during an AHP rapid response activation, which will continue to operate as a competitive funding process under the AHP Standard Operating Procedures. However, it is intended that closer coordination and collaboration between partners through the Disaster READY program will assist with more collaborative efforts during rapid response activations.</w:t>
      </w:r>
    </w:p>
    <w:p w14:paraId="6E2C2D4D" w14:textId="77777777" w:rsidR="00BD1DA8" w:rsidRPr="00394C86" w:rsidRDefault="00BD1DA8" w:rsidP="00BD1DA8">
      <w:pPr>
        <w:widowControl w:val="0"/>
        <w:autoSpaceDE w:val="0"/>
        <w:autoSpaceDN w:val="0"/>
        <w:adjustRightInd w:val="0"/>
        <w:spacing w:before="0" w:after="240" w:line="360" w:lineRule="atLeast"/>
        <w:rPr>
          <w:b/>
          <w:color w:val="3C3C3C" w:themeColor="background2" w:themeShade="40"/>
          <w:lang w:val="en-AU"/>
        </w:rPr>
      </w:pPr>
      <w:r w:rsidRPr="00394C86">
        <w:rPr>
          <w:b/>
          <w:color w:val="3C3C3C" w:themeColor="background2" w:themeShade="40"/>
          <w:lang w:val="en-AU"/>
        </w:rPr>
        <w:t>AHP NGOs</w:t>
      </w:r>
    </w:p>
    <w:p w14:paraId="2FD2CD99" w14:textId="717FB7B0" w:rsidR="00BD1DA8" w:rsidRPr="00394C86" w:rsidRDefault="00BD1DA8" w:rsidP="00BD1DA8">
      <w:pPr>
        <w:spacing w:after="120" w:line="276" w:lineRule="auto"/>
        <w:rPr>
          <w:color w:val="3C3C3C" w:themeColor="background2" w:themeShade="40"/>
          <w:lang w:val="en-AU"/>
        </w:rPr>
      </w:pPr>
      <w:r w:rsidRPr="00394C86">
        <w:rPr>
          <w:color w:val="3C3C3C" w:themeColor="background2" w:themeShade="40"/>
          <w:lang w:val="en-AU"/>
        </w:rPr>
        <w:t>AHP lead NGOs are the contract leads for their consorti</w:t>
      </w:r>
      <w:r w:rsidR="00F048D0" w:rsidRPr="00394C86">
        <w:rPr>
          <w:color w:val="3C3C3C" w:themeColor="background2" w:themeShade="40"/>
          <w:lang w:val="en-AU"/>
        </w:rPr>
        <w:t>a</w:t>
      </w:r>
      <w:r w:rsidR="00646888" w:rsidRPr="00394C86">
        <w:rPr>
          <w:color w:val="3C3C3C" w:themeColor="background2" w:themeShade="40"/>
          <w:lang w:val="en-AU"/>
        </w:rPr>
        <w:t xml:space="preserve">. </w:t>
      </w:r>
      <w:r w:rsidR="00272549" w:rsidRPr="00394C86">
        <w:rPr>
          <w:color w:val="3C3C3C" w:themeColor="background2" w:themeShade="40"/>
          <w:lang w:val="en-AU"/>
        </w:rPr>
        <w:t xml:space="preserve">They </w:t>
      </w:r>
      <w:r w:rsidRPr="00394C86">
        <w:rPr>
          <w:color w:val="3C3C3C" w:themeColor="background2" w:themeShade="40"/>
          <w:lang w:val="en-AU"/>
        </w:rPr>
        <w:t>are responsible for</w:t>
      </w:r>
      <w:r w:rsidR="00C629C2" w:rsidRPr="00394C86">
        <w:rPr>
          <w:color w:val="3C3C3C" w:themeColor="background2" w:themeShade="40"/>
          <w:lang w:val="en-AU"/>
        </w:rPr>
        <w:t>:</w:t>
      </w:r>
      <w:r w:rsidRPr="00394C86">
        <w:rPr>
          <w:color w:val="3C3C3C" w:themeColor="background2" w:themeShade="40"/>
          <w:lang w:val="en-AU"/>
        </w:rPr>
        <w:t xml:space="preserve"> </w:t>
      </w:r>
    </w:p>
    <w:p w14:paraId="45262C57" w14:textId="515ADC87" w:rsidR="00BD1DA8" w:rsidRPr="00394C86" w:rsidRDefault="00B3014C" w:rsidP="00E3786B">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h</w:t>
      </w:r>
      <w:r w:rsidR="00646888" w:rsidRPr="00394C86">
        <w:rPr>
          <w:color w:val="3C3C3C" w:themeColor="background2" w:themeShade="40"/>
        </w:rPr>
        <w:t>aving a r</w:t>
      </w:r>
      <w:r w:rsidR="00272549" w:rsidRPr="00394C86">
        <w:rPr>
          <w:color w:val="3C3C3C" w:themeColor="background2" w:themeShade="40"/>
        </w:rPr>
        <w:t>epresentative at</w:t>
      </w:r>
      <w:r w:rsidR="00BD1DA8" w:rsidRPr="00394C86">
        <w:rPr>
          <w:color w:val="3C3C3C" w:themeColor="background2" w:themeShade="40"/>
        </w:rPr>
        <w:t xml:space="preserve"> Steering Committee </w:t>
      </w:r>
      <w:r w:rsidR="00272549" w:rsidRPr="00394C86">
        <w:rPr>
          <w:color w:val="3C3C3C" w:themeColor="background2" w:themeShade="40"/>
        </w:rPr>
        <w:t>meetings</w:t>
      </w:r>
      <w:r w:rsidR="00D023C2" w:rsidRPr="00394C86">
        <w:rPr>
          <w:color w:val="3C3C3C" w:themeColor="background2" w:themeShade="40"/>
        </w:rPr>
        <w:t xml:space="preserve"> and representing the views of their</w:t>
      </w:r>
      <w:r w:rsidR="00646888" w:rsidRPr="00394C86">
        <w:rPr>
          <w:color w:val="3C3C3C" w:themeColor="background2" w:themeShade="40"/>
        </w:rPr>
        <w:t xml:space="preserve"> country</w:t>
      </w:r>
      <w:r w:rsidR="00C629C2" w:rsidRPr="00394C86">
        <w:rPr>
          <w:color w:val="3C3C3C" w:themeColor="background2" w:themeShade="40"/>
        </w:rPr>
        <w:t>-</w:t>
      </w:r>
      <w:r w:rsidR="00646888" w:rsidRPr="00394C86">
        <w:rPr>
          <w:color w:val="3C3C3C" w:themeColor="background2" w:themeShade="40"/>
        </w:rPr>
        <w:t>based teams and consorti</w:t>
      </w:r>
      <w:r w:rsidR="00340A86" w:rsidRPr="00394C86">
        <w:rPr>
          <w:color w:val="3C3C3C" w:themeColor="background2" w:themeShade="40"/>
        </w:rPr>
        <w:t>um</w:t>
      </w:r>
      <w:r w:rsidR="00646888" w:rsidRPr="00394C86">
        <w:rPr>
          <w:color w:val="3C3C3C" w:themeColor="background2" w:themeShade="40"/>
        </w:rPr>
        <w:t xml:space="preserve"> members</w:t>
      </w:r>
      <w:r w:rsidR="00C629C2" w:rsidRPr="00394C86">
        <w:rPr>
          <w:color w:val="3C3C3C" w:themeColor="background2" w:themeShade="40"/>
        </w:rPr>
        <w:t>;</w:t>
      </w:r>
    </w:p>
    <w:p w14:paraId="33542577" w14:textId="1161CC9A" w:rsidR="00272549" w:rsidRPr="00394C86" w:rsidRDefault="00B3014C" w:rsidP="00E3786B">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c</w:t>
      </w:r>
      <w:r w:rsidR="00272549" w:rsidRPr="00394C86">
        <w:rPr>
          <w:color w:val="3C3C3C" w:themeColor="background2" w:themeShade="40"/>
        </w:rPr>
        <w:t>ommunicating in a timely way with their country and consorti</w:t>
      </w:r>
      <w:r w:rsidR="00340A86" w:rsidRPr="00394C86">
        <w:rPr>
          <w:color w:val="3C3C3C" w:themeColor="background2" w:themeShade="40"/>
        </w:rPr>
        <w:t>um</w:t>
      </w:r>
      <w:r w:rsidR="00646888" w:rsidRPr="00394C86">
        <w:rPr>
          <w:color w:val="3C3C3C" w:themeColor="background2" w:themeShade="40"/>
        </w:rPr>
        <w:t xml:space="preserve"> members</w:t>
      </w:r>
      <w:r w:rsidR="00272549" w:rsidRPr="00394C86">
        <w:rPr>
          <w:color w:val="3C3C3C" w:themeColor="background2" w:themeShade="40"/>
        </w:rPr>
        <w:t xml:space="preserve"> about the </w:t>
      </w:r>
      <w:r w:rsidR="00710C08" w:rsidRPr="00394C86">
        <w:rPr>
          <w:color w:val="3C3C3C" w:themeColor="background2" w:themeShade="40"/>
        </w:rPr>
        <w:t xml:space="preserve">strategic directions, recommendations and decisions </w:t>
      </w:r>
      <w:r w:rsidR="00272549" w:rsidRPr="00394C86">
        <w:rPr>
          <w:color w:val="3C3C3C" w:themeColor="background2" w:themeShade="40"/>
        </w:rPr>
        <w:t>of the Steering Committee</w:t>
      </w:r>
      <w:r w:rsidR="00C629C2" w:rsidRPr="00394C86">
        <w:rPr>
          <w:color w:val="3C3C3C" w:themeColor="background2" w:themeShade="40"/>
        </w:rPr>
        <w:t>;</w:t>
      </w:r>
      <w:r w:rsidR="00272549" w:rsidRPr="00394C86">
        <w:rPr>
          <w:color w:val="3C3C3C" w:themeColor="background2" w:themeShade="40"/>
        </w:rPr>
        <w:t xml:space="preserve"> </w:t>
      </w:r>
    </w:p>
    <w:p w14:paraId="647FE390" w14:textId="6FF2E61E" w:rsidR="00BD1DA8" w:rsidRPr="00394C86" w:rsidRDefault="00B3014C" w:rsidP="00E3786B">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e</w:t>
      </w:r>
      <w:r w:rsidR="00BD1DA8" w:rsidRPr="00394C86">
        <w:rPr>
          <w:color w:val="3C3C3C" w:themeColor="background2" w:themeShade="40"/>
        </w:rPr>
        <w:t>ngaging in the annual</w:t>
      </w:r>
      <w:r w:rsidR="00272549" w:rsidRPr="00394C86">
        <w:rPr>
          <w:color w:val="3C3C3C" w:themeColor="background2" w:themeShade="40"/>
        </w:rPr>
        <w:t xml:space="preserve"> program</w:t>
      </w:r>
      <w:r w:rsidR="00BD1DA8" w:rsidRPr="00394C86">
        <w:rPr>
          <w:color w:val="3C3C3C" w:themeColor="background2" w:themeShade="40"/>
        </w:rPr>
        <w:t xml:space="preserve"> review and planning processes</w:t>
      </w:r>
      <w:r w:rsidR="00272549" w:rsidRPr="00394C86">
        <w:rPr>
          <w:color w:val="3C3C3C" w:themeColor="background2" w:themeShade="40"/>
        </w:rPr>
        <w:t xml:space="preserve"> and sharing lessons learnt across their countries of operation</w:t>
      </w:r>
      <w:r w:rsidR="00C629C2" w:rsidRPr="00394C86">
        <w:rPr>
          <w:color w:val="3C3C3C" w:themeColor="background2" w:themeShade="40"/>
        </w:rPr>
        <w:t>;</w:t>
      </w:r>
    </w:p>
    <w:p w14:paraId="391496AF" w14:textId="5472F340" w:rsidR="00272549" w:rsidRPr="00394C86" w:rsidRDefault="00B3014C" w:rsidP="00E3786B">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m</w:t>
      </w:r>
      <w:r w:rsidR="00272549" w:rsidRPr="00394C86">
        <w:rPr>
          <w:color w:val="3C3C3C" w:themeColor="background2" w:themeShade="40"/>
        </w:rPr>
        <w:t>anaging annual activity reporting and planning (as per contracts)</w:t>
      </w:r>
      <w:r w:rsidR="00C629C2" w:rsidRPr="00394C86">
        <w:rPr>
          <w:color w:val="3C3C3C" w:themeColor="background2" w:themeShade="40"/>
        </w:rPr>
        <w:t>; and</w:t>
      </w:r>
    </w:p>
    <w:p w14:paraId="6B98E3FA" w14:textId="58EABCE2" w:rsidR="00BD1DA8" w:rsidRPr="00394C86" w:rsidRDefault="00B3014C" w:rsidP="00E3786B">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p</w:t>
      </w:r>
      <w:r w:rsidR="00BD1DA8" w:rsidRPr="00394C86">
        <w:rPr>
          <w:color w:val="3C3C3C" w:themeColor="background2" w:themeShade="40"/>
        </w:rPr>
        <w:t>roviding photos and other material for communications products</w:t>
      </w:r>
      <w:r w:rsidR="00C629C2" w:rsidRPr="00394C86">
        <w:rPr>
          <w:color w:val="3C3C3C" w:themeColor="background2" w:themeShade="40"/>
        </w:rPr>
        <w:t>.</w:t>
      </w:r>
    </w:p>
    <w:p w14:paraId="404FCE64" w14:textId="77777777" w:rsidR="00272549" w:rsidRPr="00394C86" w:rsidRDefault="00272549" w:rsidP="00BD1DA8">
      <w:pPr>
        <w:spacing w:after="120" w:line="276" w:lineRule="auto"/>
        <w:rPr>
          <w:color w:val="3C3C3C" w:themeColor="background2" w:themeShade="40"/>
          <w:lang w:val="en-AU"/>
        </w:rPr>
      </w:pPr>
    </w:p>
    <w:p w14:paraId="5A487E2D" w14:textId="6BBAED5C" w:rsidR="009B2AA2" w:rsidRPr="00394C86" w:rsidRDefault="009B2AA2" w:rsidP="009B2AA2">
      <w:pPr>
        <w:spacing w:after="120" w:line="276" w:lineRule="auto"/>
        <w:rPr>
          <w:b/>
          <w:color w:val="3C3C3C" w:themeColor="background2" w:themeShade="40"/>
          <w:lang w:val="en-AU"/>
        </w:rPr>
      </w:pPr>
      <w:r w:rsidRPr="00394C86">
        <w:rPr>
          <w:b/>
          <w:color w:val="3C3C3C" w:themeColor="background2" w:themeShade="40"/>
          <w:lang w:val="en-AU"/>
        </w:rPr>
        <w:t xml:space="preserve">DFAT Humanitarian Response, Risk and Recovery Branch </w:t>
      </w:r>
    </w:p>
    <w:p w14:paraId="2A1D65FB" w14:textId="405D13C0" w:rsidR="009B2AA2" w:rsidRPr="00394C86" w:rsidRDefault="009B2AA2" w:rsidP="009B2AA2">
      <w:pPr>
        <w:spacing w:after="120" w:line="276" w:lineRule="auto"/>
        <w:rPr>
          <w:color w:val="3C3C3C" w:themeColor="background2" w:themeShade="40"/>
          <w:lang w:val="en-AU"/>
        </w:rPr>
      </w:pPr>
      <w:r w:rsidRPr="00394C86">
        <w:rPr>
          <w:color w:val="3C3C3C" w:themeColor="background2" w:themeShade="40"/>
          <w:lang w:val="en-AU"/>
        </w:rPr>
        <w:t>The Director of the Humanitarian Response and Partnerships Section (HRS) is the chair of the Steering Committee. The Humanitarian Response, Risk and Recovery Branch is responsible for:</w:t>
      </w:r>
    </w:p>
    <w:p w14:paraId="44DE1BA9" w14:textId="149DD908" w:rsidR="009B2AA2" w:rsidRPr="00394C86" w:rsidRDefault="00B3014C" w:rsidP="009B2AA2">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e</w:t>
      </w:r>
      <w:r w:rsidR="009B2AA2" w:rsidRPr="00394C86">
        <w:rPr>
          <w:color w:val="3C3C3C" w:themeColor="background2" w:themeShade="40"/>
        </w:rPr>
        <w:t xml:space="preserve">nsuring </w:t>
      </w:r>
      <w:r w:rsidR="00FF4EE3" w:rsidRPr="00394C86">
        <w:rPr>
          <w:color w:val="3C3C3C" w:themeColor="background2" w:themeShade="40"/>
        </w:rPr>
        <w:t xml:space="preserve">that </w:t>
      </w:r>
      <w:r w:rsidR="009B2AA2" w:rsidRPr="00394C86">
        <w:rPr>
          <w:color w:val="3C3C3C" w:themeColor="background2" w:themeShade="40"/>
        </w:rPr>
        <w:t xml:space="preserve">the strategic direction of the Disaster READY </w:t>
      </w:r>
      <w:r w:rsidR="00FF4EE3" w:rsidRPr="00394C86">
        <w:rPr>
          <w:color w:val="3C3C3C" w:themeColor="background2" w:themeShade="40"/>
        </w:rPr>
        <w:t xml:space="preserve">program </w:t>
      </w:r>
      <w:r w:rsidR="009B2AA2" w:rsidRPr="00394C86">
        <w:rPr>
          <w:color w:val="3C3C3C" w:themeColor="background2" w:themeShade="40"/>
        </w:rPr>
        <w:t>aligns with DFAT Humanitarian policy priorities;</w:t>
      </w:r>
    </w:p>
    <w:p w14:paraId="17D7F531" w14:textId="1E0C0050" w:rsidR="009B2AA2" w:rsidRPr="00394C86" w:rsidRDefault="00B3014C" w:rsidP="009B2AA2">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l</w:t>
      </w:r>
      <w:r w:rsidR="009B2AA2" w:rsidRPr="00394C86">
        <w:rPr>
          <w:color w:val="3C3C3C" w:themeColor="background2" w:themeShade="40"/>
        </w:rPr>
        <w:t>inking Disaster READY with relevant humanitarian staff and initiatives in Canberra and at Posts;</w:t>
      </w:r>
    </w:p>
    <w:p w14:paraId="52E627A0" w14:textId="126B9B60" w:rsidR="009B2AA2" w:rsidRPr="00394C86" w:rsidRDefault="00B3014C" w:rsidP="009B2AA2">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lastRenderedPageBreak/>
        <w:t>o</w:t>
      </w:r>
      <w:r w:rsidR="009B2AA2" w:rsidRPr="00394C86">
        <w:rPr>
          <w:color w:val="3C3C3C" w:themeColor="background2" w:themeShade="40"/>
        </w:rPr>
        <w:t>verseeing the work of the AHP</w:t>
      </w:r>
      <w:r w:rsidR="004249C9" w:rsidRPr="00394C86">
        <w:rPr>
          <w:color w:val="3C3C3C" w:themeColor="background2" w:themeShade="40"/>
        </w:rPr>
        <w:t xml:space="preserve"> </w:t>
      </w:r>
      <w:r w:rsidR="009B2AA2" w:rsidRPr="00394C86">
        <w:rPr>
          <w:color w:val="3C3C3C" w:themeColor="background2" w:themeShade="40"/>
        </w:rPr>
        <w:t>SU and providing financial approvals (such as annual tranches) for Disaster READY;</w:t>
      </w:r>
    </w:p>
    <w:p w14:paraId="628B0242" w14:textId="0637FE56" w:rsidR="009B2AA2" w:rsidRPr="00394C86" w:rsidRDefault="00B3014C" w:rsidP="009B2AA2">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c</w:t>
      </w:r>
      <w:r w:rsidR="009B2AA2" w:rsidRPr="00394C86">
        <w:rPr>
          <w:color w:val="3C3C3C" w:themeColor="background2" w:themeShade="40"/>
        </w:rPr>
        <w:t>ommunicating with Posts about Disaster READY and representing Post views in the Steering Committee;</w:t>
      </w:r>
    </w:p>
    <w:p w14:paraId="09E295B7" w14:textId="2D24E1AA" w:rsidR="009B2AA2" w:rsidRPr="00394C86" w:rsidRDefault="00B3014C" w:rsidP="009B2AA2">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h</w:t>
      </w:r>
      <w:r w:rsidR="009B2AA2" w:rsidRPr="00394C86">
        <w:rPr>
          <w:color w:val="3C3C3C" w:themeColor="background2" w:themeShade="40"/>
        </w:rPr>
        <w:t>aving oversight and providing timely feedback on program performance;</w:t>
      </w:r>
    </w:p>
    <w:p w14:paraId="54964AFF" w14:textId="3228FE21" w:rsidR="009B2AA2" w:rsidRPr="00394C86" w:rsidRDefault="00B3014C" w:rsidP="009B2AA2">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r</w:t>
      </w:r>
      <w:r w:rsidR="009B2AA2" w:rsidRPr="00394C86">
        <w:rPr>
          <w:color w:val="3C3C3C" w:themeColor="background2" w:themeShade="40"/>
        </w:rPr>
        <w:t xml:space="preserve">eviewing NGO annual reports and approving </w:t>
      </w:r>
      <w:r w:rsidR="003B7DE7" w:rsidRPr="00394C86">
        <w:rPr>
          <w:color w:val="3C3C3C" w:themeColor="background2" w:themeShade="40"/>
        </w:rPr>
        <w:t xml:space="preserve">activity </w:t>
      </w:r>
      <w:r w:rsidR="009B2AA2" w:rsidRPr="00394C86">
        <w:rPr>
          <w:color w:val="3C3C3C" w:themeColor="background2" w:themeShade="40"/>
        </w:rPr>
        <w:t>plans</w:t>
      </w:r>
      <w:r w:rsidR="00065A3A" w:rsidRPr="00394C86">
        <w:rPr>
          <w:color w:val="3C3C3C" w:themeColor="background2" w:themeShade="40"/>
        </w:rPr>
        <w:t>;</w:t>
      </w:r>
    </w:p>
    <w:p w14:paraId="24C7F759" w14:textId="38B4EF24" w:rsidR="009B2AA2" w:rsidRPr="00394C86" w:rsidRDefault="00B3014C" w:rsidP="009B2AA2">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p</w:t>
      </w:r>
      <w:r w:rsidR="009B2AA2" w:rsidRPr="00394C86">
        <w:rPr>
          <w:color w:val="3C3C3C" w:themeColor="background2" w:themeShade="40"/>
        </w:rPr>
        <w:t>roviding approval for any key changes in program strategy and operations as Disaster READY progresses</w:t>
      </w:r>
      <w:r w:rsidR="00065A3A" w:rsidRPr="00394C86">
        <w:rPr>
          <w:color w:val="3C3C3C" w:themeColor="background2" w:themeShade="40"/>
        </w:rPr>
        <w:t>;</w:t>
      </w:r>
    </w:p>
    <w:p w14:paraId="4D09B283" w14:textId="77777777" w:rsidR="00FB497E" w:rsidRPr="00394C86" w:rsidRDefault="00FB497E" w:rsidP="009B2AA2">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determining final selection, application process, and funding available in each round of the PPF</w:t>
      </w:r>
    </w:p>
    <w:p w14:paraId="2668DB96" w14:textId="38892907" w:rsidR="009B2AA2" w:rsidRPr="00394C86" w:rsidRDefault="00B3014C" w:rsidP="009B2AA2">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f</w:t>
      </w:r>
      <w:r w:rsidR="009B2AA2" w:rsidRPr="00394C86">
        <w:rPr>
          <w:color w:val="3C3C3C" w:themeColor="background2" w:themeShade="40"/>
        </w:rPr>
        <w:t>orming Assessment Committees for the review of proposals under the P</w:t>
      </w:r>
      <w:r w:rsidR="00FF4EE3" w:rsidRPr="00394C86">
        <w:rPr>
          <w:color w:val="3C3C3C" w:themeColor="background2" w:themeShade="40"/>
        </w:rPr>
        <w:t>PF</w:t>
      </w:r>
      <w:r w:rsidR="009B2AA2" w:rsidRPr="00394C86">
        <w:rPr>
          <w:color w:val="3C3C3C" w:themeColor="background2" w:themeShade="40"/>
        </w:rPr>
        <w:t>;</w:t>
      </w:r>
    </w:p>
    <w:p w14:paraId="1FBCE38F" w14:textId="00F7B91B" w:rsidR="009B2AA2" w:rsidRPr="00394C86" w:rsidRDefault="00B3014C" w:rsidP="009B2AA2">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p</w:t>
      </w:r>
      <w:r w:rsidR="009B2AA2" w:rsidRPr="00394C86">
        <w:rPr>
          <w:color w:val="3C3C3C" w:themeColor="background2" w:themeShade="40"/>
        </w:rPr>
        <w:t>articipating in the regional forums and possibly the annual reviews at country level;</w:t>
      </w:r>
    </w:p>
    <w:p w14:paraId="2C72A52A" w14:textId="6BD11A10" w:rsidR="009B2AA2" w:rsidRPr="00394C86" w:rsidRDefault="00B3014C" w:rsidP="009B2AA2">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p</w:t>
      </w:r>
      <w:r w:rsidR="009B2AA2" w:rsidRPr="00394C86">
        <w:rPr>
          <w:color w:val="3C3C3C" w:themeColor="background2" w:themeShade="40"/>
        </w:rPr>
        <w:t>articipating in program evaluations (as required);</w:t>
      </w:r>
    </w:p>
    <w:p w14:paraId="45370949" w14:textId="4F3EE1AA" w:rsidR="009B2AA2" w:rsidRPr="00394C86" w:rsidRDefault="00B3014C" w:rsidP="009B2AA2">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m</w:t>
      </w:r>
      <w:r w:rsidR="009B2AA2" w:rsidRPr="00394C86">
        <w:rPr>
          <w:color w:val="3C3C3C" w:themeColor="background2" w:themeShade="40"/>
        </w:rPr>
        <w:t xml:space="preserve">anaging internal communications and media products (including government press releases; </w:t>
      </w:r>
      <w:r w:rsidR="00065A3A" w:rsidRPr="00394C86">
        <w:rPr>
          <w:color w:val="3C3C3C" w:themeColor="background2" w:themeShade="40"/>
        </w:rPr>
        <w:t>T</w:t>
      </w:r>
      <w:r w:rsidR="009B2AA2" w:rsidRPr="00394C86">
        <w:rPr>
          <w:color w:val="3C3C3C" w:themeColor="background2" w:themeShade="40"/>
        </w:rPr>
        <w:t>witter feeds and other social media; government reports and assessments);</w:t>
      </w:r>
      <w:r w:rsidRPr="00394C86">
        <w:rPr>
          <w:color w:val="3C3C3C" w:themeColor="background2" w:themeShade="40"/>
        </w:rPr>
        <w:t xml:space="preserve"> and</w:t>
      </w:r>
    </w:p>
    <w:p w14:paraId="6B6C04DE" w14:textId="2B64D4B0" w:rsidR="009B2AA2" w:rsidRPr="00394C86" w:rsidRDefault="00B3014C" w:rsidP="009B2AA2">
      <w:pPr>
        <w:pStyle w:val="ListParagraph"/>
        <w:numPr>
          <w:ilvl w:val="0"/>
          <w:numId w:val="2"/>
        </w:numPr>
        <w:spacing w:before="120" w:after="120" w:line="276" w:lineRule="auto"/>
        <w:rPr>
          <w:color w:val="3C3C3C" w:themeColor="background2" w:themeShade="40"/>
        </w:rPr>
      </w:pPr>
      <w:r w:rsidRPr="00394C86">
        <w:rPr>
          <w:color w:val="3C3C3C" w:themeColor="background2" w:themeShade="40"/>
        </w:rPr>
        <w:t>c</w:t>
      </w:r>
      <w:r w:rsidR="009B2AA2" w:rsidRPr="00394C86">
        <w:rPr>
          <w:color w:val="3C3C3C" w:themeColor="background2" w:themeShade="40"/>
        </w:rPr>
        <w:t xml:space="preserve">ommissioning the independent evaluation of the program in </w:t>
      </w:r>
      <w:r w:rsidR="00106244" w:rsidRPr="00394C86">
        <w:rPr>
          <w:color w:val="3C3C3C" w:themeColor="background2" w:themeShade="40"/>
        </w:rPr>
        <w:t>Year 4</w:t>
      </w:r>
      <w:r w:rsidR="009B2AA2" w:rsidRPr="00394C86">
        <w:rPr>
          <w:color w:val="3C3C3C" w:themeColor="background2" w:themeShade="40"/>
        </w:rPr>
        <w:t>.</w:t>
      </w:r>
    </w:p>
    <w:p w14:paraId="2A03A033" w14:textId="77777777" w:rsidR="009B2AA2" w:rsidRPr="00394C86" w:rsidRDefault="009B2AA2" w:rsidP="009B2AA2">
      <w:pPr>
        <w:spacing w:after="120" w:line="276" w:lineRule="auto"/>
        <w:rPr>
          <w:b/>
          <w:color w:val="3C3C3C" w:themeColor="background2" w:themeShade="40"/>
          <w:lang w:val="en-AU"/>
        </w:rPr>
      </w:pPr>
      <w:r w:rsidRPr="00394C86">
        <w:rPr>
          <w:b/>
          <w:color w:val="3C3C3C" w:themeColor="background2" w:themeShade="40"/>
          <w:lang w:val="en-AU"/>
        </w:rPr>
        <w:t>DFAT Posts</w:t>
      </w:r>
    </w:p>
    <w:p w14:paraId="06298775" w14:textId="7078CC13" w:rsidR="000627C2" w:rsidRPr="00394C86" w:rsidRDefault="009B2AA2" w:rsidP="009B2AA2">
      <w:pPr>
        <w:spacing w:after="120" w:line="276" w:lineRule="auto"/>
        <w:rPr>
          <w:color w:val="3C3C3C" w:themeColor="background2" w:themeShade="40"/>
          <w:lang w:val="en-AU"/>
        </w:rPr>
      </w:pPr>
      <w:r w:rsidRPr="00394C86">
        <w:rPr>
          <w:color w:val="3C3C3C" w:themeColor="background2" w:themeShade="40"/>
          <w:lang w:val="en-AU"/>
        </w:rPr>
        <w:t xml:space="preserve">DFAT Posts are a key partner and stakeholder for the </w:t>
      </w:r>
      <w:r w:rsidR="009D0B2B" w:rsidRPr="00394C86">
        <w:rPr>
          <w:color w:val="3C3C3C" w:themeColor="background2" w:themeShade="40"/>
          <w:lang w:val="en-AU"/>
        </w:rPr>
        <w:t>Country Committee</w:t>
      </w:r>
      <w:r w:rsidRPr="00394C86">
        <w:rPr>
          <w:color w:val="3C3C3C" w:themeColor="background2" w:themeShade="40"/>
          <w:lang w:val="en-AU"/>
        </w:rPr>
        <w:t xml:space="preserve">s. DFAT Posts provide advice and guidance to the </w:t>
      </w:r>
      <w:r w:rsidR="009D0B2B" w:rsidRPr="00394C86">
        <w:rPr>
          <w:color w:val="3C3C3C" w:themeColor="background2" w:themeShade="40"/>
          <w:lang w:val="en-AU"/>
        </w:rPr>
        <w:t>Country Committee</w:t>
      </w:r>
      <w:r w:rsidRPr="00394C86">
        <w:rPr>
          <w:color w:val="3C3C3C" w:themeColor="background2" w:themeShade="40"/>
          <w:lang w:val="en-AU"/>
        </w:rPr>
        <w:t xml:space="preserve"> and to DFAT Humanitarian</w:t>
      </w:r>
      <w:r w:rsidR="00B85ED5" w:rsidRPr="00394C86">
        <w:rPr>
          <w:color w:val="3C3C3C" w:themeColor="background2" w:themeShade="40"/>
          <w:lang w:val="en-AU"/>
        </w:rPr>
        <w:t>, NGOs and Partnership</w:t>
      </w:r>
      <w:r w:rsidRPr="00394C86">
        <w:rPr>
          <w:color w:val="3C3C3C" w:themeColor="background2" w:themeShade="40"/>
          <w:lang w:val="en-AU"/>
        </w:rPr>
        <w:t xml:space="preserve"> Division about the implementation </w:t>
      </w:r>
      <w:r w:rsidR="00474B62" w:rsidRPr="00394C86">
        <w:rPr>
          <w:color w:val="3C3C3C" w:themeColor="background2" w:themeShade="40"/>
          <w:lang w:val="en-AU"/>
        </w:rPr>
        <w:t xml:space="preserve">and continued relevance </w:t>
      </w:r>
      <w:r w:rsidR="00C654FA" w:rsidRPr="00394C86">
        <w:rPr>
          <w:color w:val="3C3C3C" w:themeColor="background2" w:themeShade="40"/>
          <w:lang w:val="en-AU"/>
        </w:rPr>
        <w:t xml:space="preserve">of the </w:t>
      </w:r>
      <w:r w:rsidR="00065A3A" w:rsidRPr="00394C86">
        <w:rPr>
          <w:color w:val="3C3C3C" w:themeColor="background2" w:themeShade="40"/>
          <w:lang w:val="en-AU"/>
        </w:rPr>
        <w:t>c</w:t>
      </w:r>
      <w:r w:rsidR="00C654FA" w:rsidRPr="00394C86">
        <w:rPr>
          <w:color w:val="3C3C3C" w:themeColor="background2" w:themeShade="40"/>
          <w:lang w:val="en-AU"/>
        </w:rPr>
        <w:t xml:space="preserve">ountry </w:t>
      </w:r>
      <w:r w:rsidR="00065A3A" w:rsidRPr="00394C86">
        <w:rPr>
          <w:color w:val="3C3C3C" w:themeColor="background2" w:themeShade="40"/>
          <w:lang w:val="en-AU"/>
        </w:rPr>
        <w:t>p</w:t>
      </w:r>
      <w:r w:rsidR="00C654FA" w:rsidRPr="00394C86">
        <w:rPr>
          <w:color w:val="3C3C3C" w:themeColor="background2" w:themeShade="40"/>
          <w:lang w:val="en-AU"/>
        </w:rPr>
        <w:t xml:space="preserve">lan and </w:t>
      </w:r>
      <w:r w:rsidR="00065A3A" w:rsidRPr="00394C86">
        <w:rPr>
          <w:color w:val="3C3C3C" w:themeColor="background2" w:themeShade="40"/>
          <w:lang w:val="en-AU"/>
        </w:rPr>
        <w:t>a</w:t>
      </w:r>
      <w:r w:rsidR="00C654FA" w:rsidRPr="00394C86">
        <w:rPr>
          <w:color w:val="3C3C3C" w:themeColor="background2" w:themeShade="40"/>
          <w:lang w:val="en-AU"/>
        </w:rPr>
        <w:t xml:space="preserve">ctivity </w:t>
      </w:r>
      <w:r w:rsidR="00065A3A" w:rsidRPr="00394C86">
        <w:rPr>
          <w:color w:val="3C3C3C" w:themeColor="background2" w:themeShade="40"/>
          <w:lang w:val="en-AU"/>
        </w:rPr>
        <w:t>p</w:t>
      </w:r>
      <w:r w:rsidR="00C654FA" w:rsidRPr="00394C86">
        <w:rPr>
          <w:color w:val="3C3C3C" w:themeColor="background2" w:themeShade="40"/>
          <w:lang w:val="en-AU"/>
        </w:rPr>
        <w:t>lans to bilateral priorities.</w:t>
      </w:r>
    </w:p>
    <w:p w14:paraId="68259F90" w14:textId="37CCC13A" w:rsidR="009B2AA2" w:rsidRPr="00394C86" w:rsidRDefault="00513E38" w:rsidP="009B2AA2">
      <w:pPr>
        <w:spacing w:after="120" w:line="276" w:lineRule="auto"/>
        <w:rPr>
          <w:color w:val="3C3C3C" w:themeColor="background2" w:themeShade="40"/>
          <w:lang w:val="en-AU"/>
        </w:rPr>
      </w:pPr>
      <w:r w:rsidRPr="00394C86">
        <w:rPr>
          <w:color w:val="3C3C3C" w:themeColor="background2" w:themeShade="40"/>
          <w:lang w:val="en-AU"/>
        </w:rPr>
        <w:t>Engagement</w:t>
      </w:r>
      <w:r w:rsidR="009B2AA2" w:rsidRPr="00394C86">
        <w:rPr>
          <w:color w:val="3C3C3C" w:themeColor="background2" w:themeShade="40"/>
          <w:lang w:val="en-AU"/>
        </w:rPr>
        <w:t xml:space="preserve"> by the Post is necessary to ensure </w:t>
      </w:r>
      <w:r w:rsidR="00FF4EE3" w:rsidRPr="00394C86">
        <w:rPr>
          <w:color w:val="3C3C3C" w:themeColor="background2" w:themeShade="40"/>
          <w:lang w:val="en-AU"/>
        </w:rPr>
        <w:t xml:space="preserve">that </w:t>
      </w:r>
      <w:r w:rsidR="009B2AA2" w:rsidRPr="00394C86">
        <w:rPr>
          <w:color w:val="3C3C3C" w:themeColor="background2" w:themeShade="40"/>
          <w:lang w:val="en-AU"/>
        </w:rPr>
        <w:t>AHP is well</w:t>
      </w:r>
      <w:r w:rsidR="00FF4EE3" w:rsidRPr="00394C86">
        <w:rPr>
          <w:color w:val="3C3C3C" w:themeColor="background2" w:themeShade="40"/>
          <w:lang w:val="en-AU"/>
        </w:rPr>
        <w:t xml:space="preserve"> </w:t>
      </w:r>
      <w:r w:rsidR="009B2AA2" w:rsidRPr="00394C86">
        <w:rPr>
          <w:color w:val="3C3C3C" w:themeColor="background2" w:themeShade="40"/>
          <w:lang w:val="en-AU"/>
        </w:rPr>
        <w:t xml:space="preserve">linked to other bilateral and regional investments, particularly in </w:t>
      </w:r>
      <w:r w:rsidR="00FF4EE3" w:rsidRPr="00394C86">
        <w:rPr>
          <w:color w:val="3C3C3C" w:themeColor="background2" w:themeShade="40"/>
          <w:lang w:val="en-AU"/>
        </w:rPr>
        <w:t>DRR</w:t>
      </w:r>
      <w:r w:rsidR="009B2AA2" w:rsidRPr="00394C86">
        <w:rPr>
          <w:color w:val="3C3C3C" w:themeColor="background2" w:themeShade="40"/>
          <w:lang w:val="en-AU"/>
        </w:rPr>
        <w:t xml:space="preserve"> and climate change resilience. </w:t>
      </w:r>
    </w:p>
    <w:p w14:paraId="06674BC1" w14:textId="77777777" w:rsidR="009B2AA2" w:rsidRPr="00394C86" w:rsidRDefault="009B2AA2" w:rsidP="009B2AA2">
      <w:pPr>
        <w:spacing w:after="120" w:line="276" w:lineRule="auto"/>
        <w:rPr>
          <w:color w:val="3C3C3C" w:themeColor="background2" w:themeShade="40"/>
          <w:lang w:val="en-AU"/>
        </w:rPr>
      </w:pPr>
      <w:r w:rsidRPr="00394C86">
        <w:rPr>
          <w:color w:val="3C3C3C" w:themeColor="background2" w:themeShade="40"/>
          <w:lang w:val="en-AU"/>
        </w:rPr>
        <w:t xml:space="preserve">The role of the DFAT Post is to: </w:t>
      </w:r>
    </w:p>
    <w:p w14:paraId="43D1E8EE" w14:textId="1C5435DA" w:rsidR="009B2AA2" w:rsidRPr="00394C86" w:rsidRDefault="00B3014C" w:rsidP="00B3014C">
      <w:pPr>
        <w:numPr>
          <w:ilvl w:val="1"/>
          <w:numId w:val="15"/>
        </w:numPr>
        <w:spacing w:after="120" w:line="276" w:lineRule="auto"/>
        <w:ind w:left="709"/>
        <w:contextualSpacing/>
        <w:rPr>
          <w:color w:val="3C3C3C" w:themeColor="background2" w:themeShade="40"/>
          <w:lang w:val="en-AU"/>
        </w:rPr>
      </w:pPr>
      <w:r w:rsidRPr="00394C86">
        <w:rPr>
          <w:color w:val="3C3C3C" w:themeColor="background2" w:themeShade="40"/>
          <w:lang w:val="en-AU"/>
        </w:rPr>
        <w:t>m</w:t>
      </w:r>
      <w:r w:rsidR="009B2AA2" w:rsidRPr="00394C86">
        <w:rPr>
          <w:color w:val="3C3C3C" w:themeColor="background2" w:themeShade="40"/>
          <w:lang w:val="en-AU"/>
        </w:rPr>
        <w:t xml:space="preserve">aintain regular communication with the </w:t>
      </w:r>
      <w:r w:rsidR="004D11F6" w:rsidRPr="00394C86">
        <w:rPr>
          <w:color w:val="3C3C3C" w:themeColor="background2" w:themeShade="40"/>
          <w:lang w:val="en-AU"/>
        </w:rPr>
        <w:t>C</w:t>
      </w:r>
      <w:r w:rsidR="009B2AA2" w:rsidRPr="00394C86">
        <w:rPr>
          <w:color w:val="3C3C3C" w:themeColor="background2" w:themeShade="40"/>
          <w:lang w:val="en-AU"/>
        </w:rPr>
        <w:t xml:space="preserve">ountry </w:t>
      </w:r>
      <w:r w:rsidR="004D11F6" w:rsidRPr="00394C86">
        <w:rPr>
          <w:color w:val="3C3C3C" w:themeColor="background2" w:themeShade="40"/>
          <w:lang w:val="en-AU"/>
        </w:rPr>
        <w:t>Committees</w:t>
      </w:r>
      <w:r w:rsidR="009B2AA2" w:rsidRPr="00394C86">
        <w:rPr>
          <w:color w:val="3C3C3C" w:themeColor="background2" w:themeShade="40"/>
          <w:lang w:val="en-AU"/>
        </w:rPr>
        <w:t>, including through attendance at committee meetings on invitation</w:t>
      </w:r>
      <w:r w:rsidRPr="00394C86">
        <w:rPr>
          <w:color w:val="3C3C3C" w:themeColor="background2" w:themeShade="40"/>
          <w:lang w:val="en-AU"/>
        </w:rPr>
        <w:t>;</w:t>
      </w:r>
    </w:p>
    <w:p w14:paraId="66E1C6AE" w14:textId="65A2BFBD" w:rsidR="009B2AA2" w:rsidRPr="00394C86" w:rsidRDefault="00B3014C" w:rsidP="00B3014C">
      <w:pPr>
        <w:numPr>
          <w:ilvl w:val="1"/>
          <w:numId w:val="15"/>
        </w:numPr>
        <w:spacing w:after="120" w:line="276" w:lineRule="auto"/>
        <w:ind w:left="709"/>
        <w:contextualSpacing/>
        <w:rPr>
          <w:color w:val="3C3C3C" w:themeColor="background2" w:themeShade="40"/>
          <w:lang w:val="en-AU"/>
        </w:rPr>
      </w:pPr>
      <w:r w:rsidRPr="00394C86">
        <w:rPr>
          <w:color w:val="3C3C3C" w:themeColor="background2" w:themeShade="40"/>
          <w:lang w:val="en-AU"/>
        </w:rPr>
        <w:t>p</w:t>
      </w:r>
      <w:r w:rsidR="009B2AA2" w:rsidRPr="00394C86">
        <w:rPr>
          <w:color w:val="3C3C3C" w:themeColor="background2" w:themeShade="40"/>
          <w:lang w:val="en-AU"/>
        </w:rPr>
        <w:t>articipate in the annual review and planning workshop</w:t>
      </w:r>
      <w:r w:rsidR="00FF4EE3" w:rsidRPr="00394C86">
        <w:rPr>
          <w:color w:val="3C3C3C" w:themeColor="background2" w:themeShade="40"/>
          <w:lang w:val="en-AU"/>
        </w:rPr>
        <w:t>s</w:t>
      </w:r>
      <w:r w:rsidR="009B2AA2" w:rsidRPr="00394C86">
        <w:rPr>
          <w:color w:val="3C3C3C" w:themeColor="background2" w:themeShade="40"/>
          <w:lang w:val="en-AU"/>
        </w:rPr>
        <w:t xml:space="preserve"> – likely to be in mid-October</w:t>
      </w:r>
      <w:r w:rsidR="00065A3A" w:rsidRPr="00394C86">
        <w:rPr>
          <w:color w:val="3C3C3C" w:themeColor="background2" w:themeShade="40"/>
          <w:lang w:val="en-AU"/>
        </w:rPr>
        <w:t>;</w:t>
      </w:r>
    </w:p>
    <w:p w14:paraId="7E8FE157" w14:textId="0D72F021" w:rsidR="009B2AA2" w:rsidRPr="00394C86" w:rsidRDefault="00B3014C" w:rsidP="00B3014C">
      <w:pPr>
        <w:numPr>
          <w:ilvl w:val="1"/>
          <w:numId w:val="15"/>
        </w:numPr>
        <w:spacing w:after="120" w:line="276" w:lineRule="auto"/>
        <w:ind w:left="709"/>
        <w:contextualSpacing/>
        <w:rPr>
          <w:color w:val="3C3C3C" w:themeColor="background2" w:themeShade="40"/>
          <w:lang w:val="en-AU"/>
        </w:rPr>
      </w:pPr>
      <w:r w:rsidRPr="00394C86">
        <w:rPr>
          <w:color w:val="3C3C3C" w:themeColor="background2" w:themeShade="40"/>
          <w:lang w:val="en-AU"/>
        </w:rPr>
        <w:t>r</w:t>
      </w:r>
      <w:r w:rsidR="009B2AA2" w:rsidRPr="00394C86">
        <w:rPr>
          <w:color w:val="3C3C3C" w:themeColor="background2" w:themeShade="40"/>
          <w:lang w:val="en-AU"/>
        </w:rPr>
        <w:t xml:space="preserve">eview AHP NGO annual reports and </w:t>
      </w:r>
      <w:r w:rsidR="003B7DE7" w:rsidRPr="00394C86">
        <w:rPr>
          <w:color w:val="3C3C3C" w:themeColor="background2" w:themeShade="40"/>
          <w:lang w:val="en-AU"/>
        </w:rPr>
        <w:t xml:space="preserve">activity </w:t>
      </w:r>
      <w:r w:rsidR="009B2AA2" w:rsidRPr="00394C86">
        <w:rPr>
          <w:color w:val="3C3C3C" w:themeColor="background2" w:themeShade="40"/>
          <w:lang w:val="en-AU"/>
        </w:rPr>
        <w:t>plans</w:t>
      </w:r>
      <w:r w:rsidRPr="00394C86">
        <w:rPr>
          <w:color w:val="3C3C3C" w:themeColor="background2" w:themeShade="40"/>
          <w:lang w:val="en-AU"/>
        </w:rPr>
        <w:t>;</w:t>
      </w:r>
    </w:p>
    <w:p w14:paraId="70C4C887" w14:textId="0D72D0BF" w:rsidR="009B2AA2" w:rsidRPr="00394C86" w:rsidRDefault="00B3014C" w:rsidP="00B3014C">
      <w:pPr>
        <w:numPr>
          <w:ilvl w:val="1"/>
          <w:numId w:val="15"/>
        </w:numPr>
        <w:spacing w:after="120" w:line="276" w:lineRule="auto"/>
        <w:ind w:left="709"/>
        <w:contextualSpacing/>
        <w:rPr>
          <w:color w:val="3C3C3C" w:themeColor="background2" w:themeShade="40"/>
          <w:lang w:val="en-AU"/>
        </w:rPr>
      </w:pPr>
      <w:r w:rsidRPr="00394C86">
        <w:rPr>
          <w:color w:val="3C3C3C" w:themeColor="background2" w:themeShade="40"/>
          <w:lang w:val="en-AU"/>
        </w:rPr>
        <w:t>e</w:t>
      </w:r>
      <w:r w:rsidR="009B2AA2" w:rsidRPr="00394C86">
        <w:rPr>
          <w:color w:val="3C3C3C" w:themeColor="background2" w:themeShade="40"/>
          <w:lang w:val="en-AU"/>
        </w:rPr>
        <w:t>nsure AHP NGO plans are aligned with DFAT</w:t>
      </w:r>
      <w:r w:rsidR="00C654FA" w:rsidRPr="00394C86">
        <w:rPr>
          <w:color w:val="3C3C3C" w:themeColor="background2" w:themeShade="40"/>
          <w:lang w:val="en-AU"/>
        </w:rPr>
        <w:t xml:space="preserve"> bilateral</w:t>
      </w:r>
      <w:r w:rsidR="009B2AA2" w:rsidRPr="00394C86">
        <w:rPr>
          <w:color w:val="3C3C3C" w:themeColor="background2" w:themeShade="40"/>
          <w:lang w:val="en-AU"/>
        </w:rPr>
        <w:t xml:space="preserve"> priorities</w:t>
      </w:r>
      <w:r w:rsidRPr="00394C86">
        <w:rPr>
          <w:color w:val="3C3C3C" w:themeColor="background2" w:themeShade="40"/>
          <w:lang w:val="en-AU"/>
        </w:rPr>
        <w:t>;</w:t>
      </w:r>
    </w:p>
    <w:p w14:paraId="484DE20C" w14:textId="200BF333" w:rsidR="009B2AA2" w:rsidRPr="00394C86" w:rsidRDefault="00B3014C" w:rsidP="00B3014C">
      <w:pPr>
        <w:numPr>
          <w:ilvl w:val="1"/>
          <w:numId w:val="15"/>
        </w:numPr>
        <w:spacing w:after="120" w:line="276" w:lineRule="auto"/>
        <w:ind w:left="709"/>
        <w:contextualSpacing/>
        <w:rPr>
          <w:color w:val="3C3C3C" w:themeColor="background2" w:themeShade="40"/>
          <w:lang w:val="en-AU"/>
        </w:rPr>
      </w:pPr>
      <w:r w:rsidRPr="00394C86">
        <w:rPr>
          <w:color w:val="3C3C3C" w:themeColor="background2" w:themeShade="40"/>
          <w:lang w:val="en-AU"/>
        </w:rPr>
        <w:t>e</w:t>
      </w:r>
      <w:r w:rsidR="009B2AA2" w:rsidRPr="00394C86">
        <w:rPr>
          <w:color w:val="3C3C3C" w:themeColor="background2" w:themeShade="40"/>
          <w:lang w:val="en-AU"/>
        </w:rPr>
        <w:t>nsure AHP is well</w:t>
      </w:r>
      <w:r w:rsidR="00FF4EE3" w:rsidRPr="00394C86">
        <w:rPr>
          <w:color w:val="3C3C3C" w:themeColor="background2" w:themeShade="40"/>
          <w:lang w:val="en-AU"/>
        </w:rPr>
        <w:t xml:space="preserve"> </w:t>
      </w:r>
      <w:r w:rsidR="009B2AA2" w:rsidRPr="00394C86">
        <w:rPr>
          <w:color w:val="3C3C3C" w:themeColor="background2" w:themeShade="40"/>
          <w:lang w:val="en-AU"/>
        </w:rPr>
        <w:t>linked to current or new bilateral and regional work</w:t>
      </w:r>
      <w:r w:rsidRPr="00394C86">
        <w:rPr>
          <w:color w:val="3C3C3C" w:themeColor="background2" w:themeShade="40"/>
          <w:lang w:val="en-AU"/>
        </w:rPr>
        <w:t>; and</w:t>
      </w:r>
    </w:p>
    <w:p w14:paraId="6EE5BBB3" w14:textId="057DA227" w:rsidR="009B2AA2" w:rsidRPr="00394C86" w:rsidRDefault="00B3014C" w:rsidP="00B3014C">
      <w:pPr>
        <w:numPr>
          <w:ilvl w:val="1"/>
          <w:numId w:val="15"/>
        </w:numPr>
        <w:spacing w:after="120" w:line="276" w:lineRule="auto"/>
        <w:ind w:left="709"/>
        <w:contextualSpacing/>
        <w:rPr>
          <w:color w:val="3C3C3C" w:themeColor="background2" w:themeShade="40"/>
          <w:lang w:val="en-AU"/>
        </w:rPr>
      </w:pPr>
      <w:r w:rsidRPr="00394C86">
        <w:rPr>
          <w:color w:val="3C3C3C" w:themeColor="background2" w:themeShade="40"/>
          <w:lang w:val="en-AU"/>
        </w:rPr>
        <w:t>i</w:t>
      </w:r>
      <w:r w:rsidR="009B2AA2" w:rsidRPr="00394C86">
        <w:rPr>
          <w:color w:val="3C3C3C" w:themeColor="background2" w:themeShade="40"/>
          <w:lang w:val="en-AU"/>
        </w:rPr>
        <w:t>dentify and support public diplomacy opportunities</w:t>
      </w:r>
      <w:r w:rsidRPr="00394C86">
        <w:rPr>
          <w:color w:val="3C3C3C" w:themeColor="background2" w:themeShade="40"/>
          <w:lang w:val="en-AU"/>
        </w:rPr>
        <w:t>.</w:t>
      </w:r>
    </w:p>
    <w:p w14:paraId="62D72E8C" w14:textId="77777777" w:rsidR="00B85ED5" w:rsidRPr="00394C86" w:rsidRDefault="00B85ED5" w:rsidP="009B2AA2">
      <w:pPr>
        <w:spacing w:after="120" w:line="276" w:lineRule="auto"/>
        <w:rPr>
          <w:b/>
          <w:color w:val="3C3C3C" w:themeColor="background2" w:themeShade="40"/>
          <w:lang w:val="en-AU"/>
        </w:rPr>
      </w:pPr>
    </w:p>
    <w:p w14:paraId="33ECAE3A" w14:textId="3FC2759B" w:rsidR="007A049D" w:rsidRPr="00392774" w:rsidRDefault="007C20E0" w:rsidP="007A049D">
      <w:pPr>
        <w:pStyle w:val="Heading2"/>
        <w:rPr>
          <w:rFonts w:ascii="Calibri" w:hAnsi="Calibri" w:cs="Calibri"/>
        </w:rPr>
      </w:pPr>
      <w:bookmarkStart w:id="30" w:name="_Toc501451673"/>
      <w:r w:rsidRPr="00392774">
        <w:rPr>
          <w:rFonts w:ascii="Calibri" w:hAnsi="Calibri" w:cs="Calibri"/>
        </w:rPr>
        <w:t>M</w:t>
      </w:r>
      <w:r w:rsidR="007A049D" w:rsidRPr="00392774">
        <w:rPr>
          <w:rFonts w:ascii="Calibri" w:hAnsi="Calibri" w:cs="Calibri"/>
        </w:rPr>
        <w:t>anagement and support</w:t>
      </w:r>
      <w:bookmarkEnd w:id="30"/>
      <w:r w:rsidR="007A049D" w:rsidRPr="00392774">
        <w:rPr>
          <w:rFonts w:ascii="Calibri" w:hAnsi="Calibri" w:cs="Calibri"/>
        </w:rPr>
        <w:t xml:space="preserve"> </w:t>
      </w:r>
    </w:p>
    <w:p w14:paraId="19E4B227" w14:textId="3A324723" w:rsidR="007A049D" w:rsidRPr="00394C86" w:rsidRDefault="007A049D" w:rsidP="007A049D">
      <w:r w:rsidRPr="00394C86">
        <w:rPr>
          <w:color w:val="3C3C3C" w:themeColor="background2" w:themeShade="40"/>
        </w:rPr>
        <w:t xml:space="preserve">Support and management of the Disaster READY program is a function of the AHP SU. The AHP SU team will support DFAT’s Humanitarian Response and Preparedness Section (HRS) by providing program management oversight, </w:t>
      </w:r>
      <w:r w:rsidR="00FF4EE3" w:rsidRPr="00394C86">
        <w:rPr>
          <w:color w:val="3C3C3C" w:themeColor="background2" w:themeShade="40"/>
        </w:rPr>
        <w:t>M&amp;E</w:t>
      </w:r>
      <w:r w:rsidRPr="00394C86">
        <w:rPr>
          <w:color w:val="3C3C3C" w:themeColor="background2" w:themeShade="40"/>
        </w:rPr>
        <w:t>, communications inputs, and grant and operational management. This will free up the DFAT HRS to play a strategic role</w:t>
      </w:r>
      <w:r w:rsidR="00065A3A" w:rsidRPr="00394C86">
        <w:rPr>
          <w:color w:val="3C3C3C" w:themeColor="background2" w:themeShade="40"/>
        </w:rPr>
        <w:t xml:space="preserve"> by</w:t>
      </w:r>
      <w:r w:rsidRPr="00394C86">
        <w:rPr>
          <w:color w:val="3C3C3C" w:themeColor="background2" w:themeShade="40"/>
        </w:rPr>
        <w:t xml:space="preserve"> continuing to work with AHP partners on the localisation agenda, promoting collaborative disaster risk management efforts at the country level by ensuring links with other key DFAT aid investments, and promoting strong engagement of DFAT Posts and national government counterparts.</w:t>
      </w:r>
    </w:p>
    <w:p w14:paraId="759335CA" w14:textId="5F34E5D4" w:rsidR="007A049D" w:rsidRPr="00394C86" w:rsidRDefault="007A049D" w:rsidP="007A049D">
      <w:pPr>
        <w:rPr>
          <w:color w:val="3C3C3C" w:themeColor="background2" w:themeShade="40"/>
        </w:rPr>
      </w:pPr>
      <w:r w:rsidRPr="00394C86">
        <w:rPr>
          <w:color w:val="3C3C3C" w:themeColor="background2" w:themeShade="40"/>
        </w:rPr>
        <w:lastRenderedPageBreak/>
        <w:t>AHP SU support will be provided through the established AHP SU team. This will be supplemented with technical, administrative and logistics support to ensure that the Disaster READY program and the AHP implementing partners have the support required to</w:t>
      </w:r>
      <w:r w:rsidR="007A667B" w:rsidRPr="00394C86">
        <w:rPr>
          <w:color w:val="3C3C3C" w:themeColor="background2" w:themeShade="40"/>
        </w:rPr>
        <w:t xml:space="preserve"> </w:t>
      </w:r>
      <w:r w:rsidRPr="00394C86">
        <w:rPr>
          <w:color w:val="3C3C3C" w:themeColor="background2" w:themeShade="40"/>
        </w:rPr>
        <w:t xml:space="preserve">achieve quality outcomes. This will enable a strong program focus on localisation, gender and disability inclusion, robust NGO collaboration, evidence-based </w:t>
      </w:r>
      <w:r w:rsidR="00964F8D" w:rsidRPr="00394C86">
        <w:rPr>
          <w:color w:val="3C3C3C" w:themeColor="background2" w:themeShade="40"/>
        </w:rPr>
        <w:t>decision-making</w:t>
      </w:r>
      <w:r w:rsidR="007A667B" w:rsidRPr="00394C86">
        <w:rPr>
          <w:color w:val="3C3C3C" w:themeColor="background2" w:themeShade="40"/>
        </w:rPr>
        <w:t>,</w:t>
      </w:r>
      <w:r w:rsidRPr="00394C86">
        <w:rPr>
          <w:color w:val="3C3C3C" w:themeColor="background2" w:themeShade="40"/>
        </w:rPr>
        <w:t xml:space="preserve"> and communications and public diplomacy. </w:t>
      </w:r>
    </w:p>
    <w:p w14:paraId="2B838C5B" w14:textId="23B81C22" w:rsidR="007A049D" w:rsidRPr="00394C86" w:rsidRDefault="007A667B" w:rsidP="007A049D">
      <w:pPr>
        <w:rPr>
          <w:color w:val="3C3C3C" w:themeColor="background2" w:themeShade="40"/>
        </w:rPr>
      </w:pPr>
      <w:r w:rsidRPr="00394C86">
        <w:rPr>
          <w:color w:val="3C3C3C" w:themeColor="background2" w:themeShade="40"/>
        </w:rPr>
        <w:t>Below are the role descriptions</w:t>
      </w:r>
      <w:r w:rsidR="007A049D" w:rsidRPr="00394C86">
        <w:rPr>
          <w:color w:val="3C3C3C" w:themeColor="background2" w:themeShade="40"/>
        </w:rPr>
        <w:t xml:space="preserve"> of the AHP SU in Disaster READY and the additional technical, administrative and logistic support funded through the program</w:t>
      </w:r>
      <w:r w:rsidRPr="00394C86">
        <w:rPr>
          <w:color w:val="3C3C3C" w:themeColor="background2" w:themeShade="40"/>
        </w:rPr>
        <w:t xml:space="preserve"> </w:t>
      </w:r>
      <w:r w:rsidR="007A049D" w:rsidRPr="00394C86">
        <w:rPr>
          <w:color w:val="3C3C3C" w:themeColor="background2" w:themeShade="40"/>
        </w:rPr>
        <w:t>and managed by the AHP SU.</w:t>
      </w:r>
    </w:p>
    <w:p w14:paraId="70AC5034" w14:textId="40809101" w:rsidR="007A049D" w:rsidRPr="00394C86" w:rsidRDefault="007A049D" w:rsidP="000B60BA">
      <w:pPr>
        <w:rPr>
          <w:b/>
          <w:color w:val="3C3C3C" w:themeColor="background2" w:themeShade="40"/>
        </w:rPr>
      </w:pPr>
      <w:r w:rsidRPr="00394C86">
        <w:rPr>
          <w:b/>
          <w:color w:val="3C3C3C" w:themeColor="background2" w:themeShade="40"/>
        </w:rPr>
        <w:t xml:space="preserve">AHP SU Staff Roles </w:t>
      </w:r>
    </w:p>
    <w:p w14:paraId="1D8DD03B" w14:textId="691C0F81" w:rsidR="007A049D" w:rsidRPr="00394C86" w:rsidRDefault="007A049D" w:rsidP="007A049D">
      <w:pPr>
        <w:rPr>
          <w:color w:val="3C3C3C" w:themeColor="background2" w:themeShade="40"/>
        </w:rPr>
      </w:pPr>
      <w:r w:rsidRPr="00394C86">
        <w:rPr>
          <w:color w:val="3C3C3C" w:themeColor="background2" w:themeShade="40"/>
        </w:rPr>
        <w:t xml:space="preserve">AHP SU </w:t>
      </w:r>
      <w:r w:rsidR="001D2DA2" w:rsidRPr="00394C86">
        <w:rPr>
          <w:color w:val="3C3C3C" w:themeColor="background2" w:themeShade="40"/>
        </w:rPr>
        <w:t>r</w:t>
      </w:r>
      <w:r w:rsidRPr="00394C86">
        <w:rPr>
          <w:color w:val="3C3C3C" w:themeColor="background2" w:themeShade="40"/>
        </w:rPr>
        <w:t>oles in Disaster READY are as follows:</w:t>
      </w:r>
    </w:p>
    <w:p w14:paraId="647A2C4A" w14:textId="77777777" w:rsidR="007A049D" w:rsidRPr="00394C86" w:rsidRDefault="007A049D" w:rsidP="007A049D">
      <w:pPr>
        <w:rPr>
          <w:b/>
          <w:color w:val="3C3C3C" w:themeColor="background2" w:themeShade="40"/>
          <w:lang w:val="en-GB" w:eastAsia="en-GB"/>
        </w:rPr>
      </w:pPr>
      <w:r w:rsidRPr="00394C86">
        <w:rPr>
          <w:b/>
          <w:color w:val="3C3C3C" w:themeColor="background2" w:themeShade="40"/>
          <w:lang w:val="en-GB" w:eastAsia="en-GB"/>
        </w:rPr>
        <w:t xml:space="preserve">Partnership Director </w:t>
      </w:r>
    </w:p>
    <w:p w14:paraId="3E021050" w14:textId="23ECA740" w:rsidR="007A049D" w:rsidRPr="00394C86" w:rsidRDefault="007A667B" w:rsidP="007A049D">
      <w:pPr>
        <w:pStyle w:val="ListParagraph"/>
        <w:numPr>
          <w:ilvl w:val="0"/>
          <w:numId w:val="35"/>
        </w:numPr>
        <w:spacing w:after="0" w:line="240" w:lineRule="auto"/>
        <w:rPr>
          <w:color w:val="3C3C3C" w:themeColor="background2" w:themeShade="40"/>
          <w:lang w:val="en-GB" w:eastAsia="en-GB"/>
        </w:rPr>
      </w:pPr>
      <w:r w:rsidRPr="00394C86">
        <w:rPr>
          <w:color w:val="3C3C3C" w:themeColor="background2" w:themeShade="40"/>
          <w:lang w:val="en-GB" w:eastAsia="en-GB"/>
        </w:rPr>
        <w:t>Provide o</w:t>
      </w:r>
      <w:r w:rsidR="007A049D" w:rsidRPr="00394C86">
        <w:rPr>
          <w:color w:val="3C3C3C" w:themeColor="background2" w:themeShade="40"/>
          <w:lang w:val="en-GB" w:eastAsia="en-GB"/>
        </w:rPr>
        <w:t>versight of the program, including</w:t>
      </w:r>
      <w:r w:rsidRPr="00394C86">
        <w:rPr>
          <w:color w:val="3C3C3C" w:themeColor="background2" w:themeShade="40"/>
          <w:lang w:val="en-GB" w:eastAsia="en-GB"/>
        </w:rPr>
        <w:t xml:space="preserve"> its</w:t>
      </w:r>
      <w:r w:rsidR="007A049D" w:rsidRPr="00394C86">
        <w:rPr>
          <w:color w:val="3C3C3C" w:themeColor="background2" w:themeShade="40"/>
          <w:lang w:val="en-GB" w:eastAsia="en-GB"/>
        </w:rPr>
        <w:t xml:space="preserve"> governance arrangements</w:t>
      </w:r>
    </w:p>
    <w:p w14:paraId="7038A972" w14:textId="4AF813F6" w:rsidR="007A049D" w:rsidRPr="00394C86" w:rsidRDefault="007A049D" w:rsidP="007A049D">
      <w:pPr>
        <w:pStyle w:val="ListParagraph"/>
        <w:numPr>
          <w:ilvl w:val="0"/>
          <w:numId w:val="35"/>
        </w:numPr>
        <w:spacing w:after="0" w:line="240" w:lineRule="auto"/>
        <w:rPr>
          <w:color w:val="3C3C3C" w:themeColor="background2" w:themeShade="40"/>
        </w:rPr>
      </w:pPr>
      <w:r w:rsidRPr="00394C86">
        <w:rPr>
          <w:color w:val="3C3C3C" w:themeColor="background2" w:themeShade="40"/>
          <w:lang w:val="en-GB" w:eastAsia="en-GB"/>
        </w:rPr>
        <w:t>Lead on the Secretariat function for the Steering Committee</w:t>
      </w:r>
    </w:p>
    <w:p w14:paraId="48C97931" w14:textId="07F18BD4" w:rsidR="007A049D" w:rsidRPr="00394C86" w:rsidRDefault="007A049D" w:rsidP="007A049D">
      <w:pPr>
        <w:pStyle w:val="ListParagraph"/>
        <w:numPr>
          <w:ilvl w:val="0"/>
          <w:numId w:val="35"/>
        </w:numPr>
        <w:spacing w:after="0" w:line="240" w:lineRule="auto"/>
        <w:rPr>
          <w:color w:val="3C3C3C" w:themeColor="background2" w:themeShade="40"/>
        </w:rPr>
      </w:pPr>
      <w:r w:rsidRPr="00394C86">
        <w:rPr>
          <w:color w:val="3C3C3C" w:themeColor="background2" w:themeShade="40"/>
          <w:lang w:val="en-GB" w:eastAsia="en-GB"/>
        </w:rPr>
        <w:t xml:space="preserve">Manage and engage in annual country reviews and </w:t>
      </w:r>
      <w:r w:rsidR="007A667B" w:rsidRPr="00394C86">
        <w:rPr>
          <w:color w:val="3C3C3C" w:themeColor="background2" w:themeShade="40"/>
          <w:lang w:val="en-GB" w:eastAsia="en-GB"/>
        </w:rPr>
        <w:t xml:space="preserve">the </w:t>
      </w:r>
      <w:r w:rsidRPr="00394C86">
        <w:rPr>
          <w:color w:val="3C3C3C" w:themeColor="background2" w:themeShade="40"/>
          <w:lang w:val="en-GB" w:eastAsia="en-GB"/>
        </w:rPr>
        <w:t>regional learning and review event</w:t>
      </w:r>
    </w:p>
    <w:p w14:paraId="743B3386" w14:textId="5A53A352" w:rsidR="007A049D" w:rsidRPr="00394C86" w:rsidRDefault="007A049D" w:rsidP="007A049D">
      <w:pPr>
        <w:pStyle w:val="ListParagraph"/>
        <w:numPr>
          <w:ilvl w:val="0"/>
          <w:numId w:val="35"/>
        </w:numPr>
        <w:spacing w:after="0" w:line="240" w:lineRule="auto"/>
        <w:rPr>
          <w:color w:val="3C3C3C" w:themeColor="background2" w:themeShade="40"/>
        </w:rPr>
      </w:pPr>
      <w:r w:rsidRPr="00394C86">
        <w:rPr>
          <w:color w:val="3C3C3C" w:themeColor="background2" w:themeShade="40"/>
          <w:lang w:val="en-GB" w:eastAsia="en-GB"/>
        </w:rPr>
        <w:t xml:space="preserve">Provide support to the </w:t>
      </w:r>
      <w:r w:rsidR="009D0B2B" w:rsidRPr="00394C86">
        <w:rPr>
          <w:color w:val="3C3C3C" w:themeColor="background2" w:themeShade="40"/>
          <w:lang w:val="en-GB" w:eastAsia="en-GB"/>
        </w:rPr>
        <w:t>Country Committee</w:t>
      </w:r>
      <w:r w:rsidRPr="00394C86">
        <w:rPr>
          <w:color w:val="3C3C3C" w:themeColor="background2" w:themeShade="40"/>
          <w:lang w:val="en-GB" w:eastAsia="en-GB"/>
        </w:rPr>
        <w:t>s through monthly teleconferences</w:t>
      </w:r>
    </w:p>
    <w:p w14:paraId="1E349D02" w14:textId="55AD7766" w:rsidR="007A049D" w:rsidRPr="00394C86" w:rsidRDefault="007A049D" w:rsidP="007A049D">
      <w:pPr>
        <w:pStyle w:val="ListParagraph"/>
        <w:numPr>
          <w:ilvl w:val="0"/>
          <w:numId w:val="35"/>
        </w:numPr>
        <w:spacing w:after="0" w:line="240" w:lineRule="auto"/>
        <w:rPr>
          <w:color w:val="3C3C3C" w:themeColor="background2" w:themeShade="40"/>
        </w:rPr>
      </w:pPr>
      <w:r w:rsidRPr="00394C86">
        <w:rPr>
          <w:color w:val="3C3C3C" w:themeColor="background2" w:themeShade="40"/>
          <w:lang w:val="en-GB" w:eastAsia="en-GB"/>
        </w:rPr>
        <w:t>Facilitate interactions between DFAT HRS and Posts and AHP NGOs to support partnership outcomes</w:t>
      </w:r>
    </w:p>
    <w:p w14:paraId="63781CFB" w14:textId="4397684C" w:rsidR="007A049D" w:rsidRPr="00394C86" w:rsidRDefault="007A049D" w:rsidP="007A049D">
      <w:pPr>
        <w:pStyle w:val="ListParagraph"/>
        <w:numPr>
          <w:ilvl w:val="0"/>
          <w:numId w:val="35"/>
        </w:numPr>
        <w:spacing w:after="0" w:line="240" w:lineRule="auto"/>
        <w:rPr>
          <w:color w:val="3C3C3C" w:themeColor="background2" w:themeShade="40"/>
        </w:rPr>
      </w:pPr>
      <w:r w:rsidRPr="00394C86">
        <w:rPr>
          <w:color w:val="3C3C3C" w:themeColor="background2" w:themeShade="40"/>
          <w:lang w:val="en-GB" w:eastAsia="en-GB"/>
        </w:rPr>
        <w:t>Maintain management oversight of all AHP SU support functions to the Disaster READY program</w:t>
      </w:r>
      <w:r w:rsidR="007A667B" w:rsidRPr="00394C86">
        <w:rPr>
          <w:color w:val="3C3C3C" w:themeColor="background2" w:themeShade="40"/>
          <w:lang w:val="en-GB" w:eastAsia="en-GB"/>
        </w:rPr>
        <w:t>,</w:t>
      </w:r>
      <w:r w:rsidRPr="00394C86">
        <w:rPr>
          <w:color w:val="3C3C3C" w:themeColor="background2" w:themeShade="40"/>
          <w:lang w:val="en-GB" w:eastAsia="en-GB"/>
        </w:rPr>
        <w:t xml:space="preserve"> including operational and grants inputs, monitoring, evaluation and learning support</w:t>
      </w:r>
      <w:r w:rsidR="007A667B" w:rsidRPr="00394C86">
        <w:rPr>
          <w:color w:val="3C3C3C" w:themeColor="background2" w:themeShade="40"/>
          <w:lang w:val="en-GB" w:eastAsia="en-GB"/>
        </w:rPr>
        <w:t>,</w:t>
      </w:r>
      <w:r w:rsidRPr="00394C86">
        <w:rPr>
          <w:color w:val="3C3C3C" w:themeColor="background2" w:themeShade="40"/>
          <w:lang w:val="en-GB" w:eastAsia="en-GB"/>
        </w:rPr>
        <w:t xml:space="preserve"> and </w:t>
      </w:r>
      <w:r w:rsidR="00FF1E42" w:rsidRPr="00394C86">
        <w:rPr>
          <w:color w:val="3C3C3C" w:themeColor="background2" w:themeShade="40"/>
          <w:lang w:val="en-GB" w:eastAsia="en-GB"/>
        </w:rPr>
        <w:t xml:space="preserve">the </w:t>
      </w:r>
      <w:r w:rsidRPr="00394C86">
        <w:rPr>
          <w:color w:val="3C3C3C" w:themeColor="background2" w:themeShade="40"/>
          <w:lang w:val="en-GB" w:eastAsia="en-GB"/>
        </w:rPr>
        <w:t>development of communications and media products</w:t>
      </w:r>
    </w:p>
    <w:p w14:paraId="11FCBF6C" w14:textId="77777777" w:rsidR="007A049D" w:rsidRPr="00394C86" w:rsidRDefault="007A049D" w:rsidP="007A049D">
      <w:pPr>
        <w:pStyle w:val="ListParagraph"/>
        <w:spacing w:after="0" w:line="240" w:lineRule="auto"/>
        <w:rPr>
          <w:color w:val="3C3C3C" w:themeColor="background2" w:themeShade="40"/>
        </w:rPr>
      </w:pPr>
    </w:p>
    <w:p w14:paraId="28485DD7" w14:textId="77777777" w:rsidR="007A049D" w:rsidRPr="00394C86" w:rsidRDefault="007A049D" w:rsidP="007A049D">
      <w:pPr>
        <w:rPr>
          <w:color w:val="3C3C3C" w:themeColor="background2" w:themeShade="40"/>
          <w:lang w:val="en-AU" w:eastAsia="en-US"/>
        </w:rPr>
      </w:pPr>
      <w:r w:rsidRPr="00394C86">
        <w:rPr>
          <w:b/>
          <w:color w:val="3C3C3C" w:themeColor="background2" w:themeShade="40"/>
          <w:lang w:val="en-GB" w:eastAsia="en-GB"/>
        </w:rPr>
        <w:t>Monitoring, Evaluation and Learning Manager</w:t>
      </w:r>
    </w:p>
    <w:p w14:paraId="7B44BF25" w14:textId="003800B5" w:rsidR="007A049D" w:rsidRPr="00394C86" w:rsidRDefault="007A049D" w:rsidP="007A049D">
      <w:pPr>
        <w:pStyle w:val="ListParagraph"/>
        <w:numPr>
          <w:ilvl w:val="0"/>
          <w:numId w:val="35"/>
        </w:numPr>
        <w:spacing w:after="0" w:line="240" w:lineRule="auto"/>
        <w:rPr>
          <w:color w:val="3C3C3C" w:themeColor="background2" w:themeShade="40"/>
          <w:lang w:val="en-GB" w:eastAsia="en-GB"/>
        </w:rPr>
      </w:pPr>
      <w:r w:rsidRPr="00394C86">
        <w:rPr>
          <w:color w:val="3C3C3C" w:themeColor="background2" w:themeShade="40"/>
          <w:lang w:val="en-GB" w:eastAsia="en-GB"/>
        </w:rPr>
        <w:t>Support and manage review and development of country-level MEL systems to ensure that results from the focus countries feed into program</w:t>
      </w:r>
      <w:r w:rsidR="00FF1E42" w:rsidRPr="00394C86">
        <w:rPr>
          <w:color w:val="3C3C3C" w:themeColor="background2" w:themeShade="40"/>
          <w:lang w:val="en-GB" w:eastAsia="en-GB"/>
        </w:rPr>
        <w:t>-</w:t>
      </w:r>
      <w:r w:rsidRPr="00394C86">
        <w:rPr>
          <w:color w:val="3C3C3C" w:themeColor="background2" w:themeShade="40"/>
          <w:lang w:val="en-GB" w:eastAsia="en-GB"/>
        </w:rPr>
        <w:t>level outcomes</w:t>
      </w:r>
    </w:p>
    <w:p w14:paraId="1765D792" w14:textId="7F7FDE04" w:rsidR="007A049D" w:rsidRPr="00394C86" w:rsidRDefault="007A049D" w:rsidP="007A049D">
      <w:pPr>
        <w:pStyle w:val="ListParagraph"/>
        <w:numPr>
          <w:ilvl w:val="0"/>
          <w:numId w:val="35"/>
        </w:numPr>
        <w:spacing w:after="0" w:line="240" w:lineRule="auto"/>
        <w:rPr>
          <w:color w:val="3C3C3C" w:themeColor="background2" w:themeShade="40"/>
          <w:lang w:val="en-GB" w:eastAsia="en-GB"/>
        </w:rPr>
      </w:pPr>
      <w:r w:rsidRPr="00394C86">
        <w:rPr>
          <w:color w:val="3C3C3C" w:themeColor="background2" w:themeShade="40"/>
          <w:lang w:val="en-GB" w:eastAsia="en-GB"/>
        </w:rPr>
        <w:t>Support and manage annual review processes at the country level, including in-country visits, and assist with the development of annual plans</w:t>
      </w:r>
    </w:p>
    <w:p w14:paraId="390BA985" w14:textId="67753D7B" w:rsidR="007A049D" w:rsidRPr="00394C86" w:rsidRDefault="007A049D" w:rsidP="007A049D">
      <w:pPr>
        <w:pStyle w:val="ListParagraph"/>
        <w:numPr>
          <w:ilvl w:val="0"/>
          <w:numId w:val="35"/>
        </w:numPr>
        <w:spacing w:after="0" w:line="240" w:lineRule="auto"/>
        <w:rPr>
          <w:color w:val="3C3C3C" w:themeColor="background2" w:themeShade="40"/>
          <w:lang w:val="en-GB" w:eastAsia="en-GB"/>
        </w:rPr>
      </w:pPr>
      <w:r w:rsidRPr="00394C86">
        <w:rPr>
          <w:color w:val="3C3C3C" w:themeColor="background2" w:themeShade="40"/>
          <w:lang w:val="en-GB" w:eastAsia="en-GB"/>
        </w:rPr>
        <w:t>Support and manage the regional learning event</w:t>
      </w:r>
    </w:p>
    <w:p w14:paraId="0F7336F9" w14:textId="17C493D8" w:rsidR="007A049D" w:rsidRPr="00394C86" w:rsidRDefault="007A049D" w:rsidP="007A049D">
      <w:pPr>
        <w:pStyle w:val="ListParagraph"/>
        <w:numPr>
          <w:ilvl w:val="0"/>
          <w:numId w:val="35"/>
        </w:numPr>
        <w:spacing w:after="0" w:line="240" w:lineRule="auto"/>
        <w:rPr>
          <w:color w:val="3C3C3C" w:themeColor="background2" w:themeShade="40"/>
          <w:lang w:val="en-GB" w:eastAsia="en-GB"/>
        </w:rPr>
      </w:pPr>
      <w:r w:rsidRPr="00394C86">
        <w:rPr>
          <w:color w:val="3C3C3C" w:themeColor="background2" w:themeShade="40"/>
          <w:lang w:val="en-GB" w:eastAsia="en-GB"/>
        </w:rPr>
        <w:t xml:space="preserve">Support </w:t>
      </w:r>
      <w:r w:rsidR="00FF1E42" w:rsidRPr="00394C86">
        <w:rPr>
          <w:color w:val="3C3C3C" w:themeColor="background2" w:themeShade="40"/>
          <w:lang w:val="en-GB" w:eastAsia="en-GB"/>
        </w:rPr>
        <w:t xml:space="preserve">the </w:t>
      </w:r>
      <w:r w:rsidRPr="00394C86">
        <w:rPr>
          <w:color w:val="3C3C3C" w:themeColor="background2" w:themeShade="40"/>
          <w:lang w:val="en-GB" w:eastAsia="en-GB"/>
        </w:rPr>
        <w:t>development of criteria for the PPF</w:t>
      </w:r>
    </w:p>
    <w:p w14:paraId="5210B843" w14:textId="6B68781E" w:rsidR="007A049D" w:rsidRPr="00394C86" w:rsidRDefault="007A049D" w:rsidP="007A049D">
      <w:pPr>
        <w:pStyle w:val="ListParagraph"/>
        <w:numPr>
          <w:ilvl w:val="0"/>
          <w:numId w:val="35"/>
        </w:numPr>
        <w:spacing w:after="0" w:line="240" w:lineRule="auto"/>
        <w:rPr>
          <w:color w:val="3C3C3C" w:themeColor="background2" w:themeShade="40"/>
          <w:lang w:val="en-GB" w:eastAsia="en-GB"/>
        </w:rPr>
      </w:pPr>
      <w:r w:rsidRPr="00394C86">
        <w:rPr>
          <w:color w:val="3C3C3C" w:themeColor="background2" w:themeShade="40"/>
          <w:lang w:val="en-GB" w:eastAsia="en-GB"/>
        </w:rPr>
        <w:t>Design and manage annual thematic evaluations and final evaluations</w:t>
      </w:r>
    </w:p>
    <w:p w14:paraId="6679B8F4" w14:textId="77777777" w:rsidR="007A049D" w:rsidRPr="00394C86" w:rsidRDefault="007A049D" w:rsidP="007A049D">
      <w:pPr>
        <w:pStyle w:val="ListParagraph"/>
        <w:spacing w:after="0" w:line="240" w:lineRule="auto"/>
        <w:rPr>
          <w:color w:val="3C3C3C" w:themeColor="background2" w:themeShade="40"/>
          <w:lang w:val="en-GB" w:eastAsia="en-GB"/>
        </w:rPr>
      </w:pPr>
    </w:p>
    <w:p w14:paraId="66B967F1" w14:textId="77777777" w:rsidR="007A049D" w:rsidRPr="00394C86" w:rsidRDefault="007A049D" w:rsidP="007A049D">
      <w:pPr>
        <w:rPr>
          <w:color w:val="3C3C3C" w:themeColor="background2" w:themeShade="40"/>
          <w:lang w:val="en-AU" w:eastAsia="en-US"/>
        </w:rPr>
      </w:pPr>
      <w:r w:rsidRPr="00394C86">
        <w:rPr>
          <w:b/>
          <w:color w:val="3C3C3C" w:themeColor="background2" w:themeShade="40"/>
          <w:lang w:val="en-GB" w:eastAsia="en-GB"/>
        </w:rPr>
        <w:t>Operations and Grants Manager</w:t>
      </w:r>
    </w:p>
    <w:p w14:paraId="71D579B1" w14:textId="21D50F03" w:rsidR="007A049D" w:rsidRPr="00394C86" w:rsidRDefault="007A049D" w:rsidP="007A049D">
      <w:pPr>
        <w:pStyle w:val="ListParagraph"/>
        <w:numPr>
          <w:ilvl w:val="0"/>
          <w:numId w:val="35"/>
        </w:numPr>
        <w:spacing w:after="0" w:line="240" w:lineRule="auto"/>
        <w:rPr>
          <w:color w:val="3C3C3C" w:themeColor="background2" w:themeShade="40"/>
          <w:lang w:val="en-GB" w:eastAsia="en-GB"/>
        </w:rPr>
      </w:pPr>
      <w:r w:rsidRPr="00394C86">
        <w:rPr>
          <w:color w:val="3C3C3C" w:themeColor="background2" w:themeShade="40"/>
          <w:lang w:val="en-GB" w:eastAsia="en-GB"/>
        </w:rPr>
        <w:t xml:space="preserve">Conduct all contracting arrangements between DFAT (Service Orders) and AHP NGOs (Grant Orders) </w:t>
      </w:r>
    </w:p>
    <w:p w14:paraId="25AA5FC8" w14:textId="05ADA02A" w:rsidR="007A049D" w:rsidRPr="00394C86" w:rsidRDefault="007A049D" w:rsidP="007A049D">
      <w:pPr>
        <w:pStyle w:val="ListParagraph"/>
        <w:numPr>
          <w:ilvl w:val="0"/>
          <w:numId w:val="35"/>
        </w:numPr>
        <w:spacing w:after="0" w:line="240" w:lineRule="auto"/>
        <w:rPr>
          <w:color w:val="3C3C3C" w:themeColor="background2" w:themeShade="40"/>
          <w:lang w:val="en-GB" w:eastAsia="en-GB"/>
        </w:rPr>
      </w:pPr>
      <w:r w:rsidRPr="00394C86">
        <w:rPr>
          <w:color w:val="3C3C3C" w:themeColor="background2" w:themeShade="40"/>
          <w:lang w:val="en-GB" w:eastAsia="en-GB"/>
        </w:rPr>
        <w:t xml:space="preserve">Manage the internal contracting of advisers associated with the ongoing management and support of Disaster READY </w:t>
      </w:r>
    </w:p>
    <w:p w14:paraId="14294577" w14:textId="45E5931A" w:rsidR="007A049D" w:rsidRPr="00394C86" w:rsidRDefault="00FF1E42" w:rsidP="007A049D">
      <w:pPr>
        <w:pStyle w:val="ListParagraph"/>
        <w:numPr>
          <w:ilvl w:val="0"/>
          <w:numId w:val="35"/>
        </w:numPr>
        <w:spacing w:after="0" w:line="240" w:lineRule="auto"/>
        <w:rPr>
          <w:color w:val="3C3C3C" w:themeColor="background2" w:themeShade="40"/>
          <w:lang w:val="en-GB" w:eastAsia="en-GB"/>
        </w:rPr>
      </w:pPr>
      <w:r w:rsidRPr="00394C86">
        <w:rPr>
          <w:color w:val="3C3C3C" w:themeColor="background2" w:themeShade="40"/>
          <w:lang w:val="en-GB" w:eastAsia="en-GB"/>
        </w:rPr>
        <w:t>Manage b</w:t>
      </w:r>
      <w:r w:rsidR="007A049D" w:rsidRPr="00394C86">
        <w:rPr>
          <w:color w:val="3C3C3C" w:themeColor="background2" w:themeShade="40"/>
          <w:lang w:val="en-GB" w:eastAsia="en-GB"/>
        </w:rPr>
        <w:t>udge</w:t>
      </w:r>
      <w:r w:rsidRPr="00394C86">
        <w:rPr>
          <w:color w:val="3C3C3C" w:themeColor="background2" w:themeShade="40"/>
          <w:lang w:val="en-GB" w:eastAsia="en-GB"/>
        </w:rPr>
        <w:t>ts</w:t>
      </w:r>
    </w:p>
    <w:p w14:paraId="0E5A967D" w14:textId="6D503546" w:rsidR="007A049D" w:rsidRPr="00394C86" w:rsidRDefault="007A049D" w:rsidP="007A049D">
      <w:pPr>
        <w:pStyle w:val="ListParagraph"/>
        <w:numPr>
          <w:ilvl w:val="0"/>
          <w:numId w:val="35"/>
        </w:numPr>
        <w:spacing w:after="0" w:line="240" w:lineRule="auto"/>
        <w:rPr>
          <w:color w:val="3C3C3C" w:themeColor="background2" w:themeShade="40"/>
          <w:lang w:val="en-GB" w:eastAsia="en-GB"/>
        </w:rPr>
      </w:pPr>
      <w:r w:rsidRPr="00394C86">
        <w:rPr>
          <w:color w:val="3C3C3C" w:themeColor="background2" w:themeShade="40"/>
          <w:lang w:val="en-GB" w:eastAsia="en-GB"/>
        </w:rPr>
        <w:t xml:space="preserve">Provide inputs for communication and support issues resolution with </w:t>
      </w:r>
      <w:r w:rsidR="00FF1E42" w:rsidRPr="00394C86">
        <w:rPr>
          <w:color w:val="3C3C3C" w:themeColor="background2" w:themeShade="40"/>
          <w:lang w:val="en-GB" w:eastAsia="en-GB"/>
        </w:rPr>
        <w:t>C</w:t>
      </w:r>
      <w:r w:rsidRPr="00394C86">
        <w:rPr>
          <w:color w:val="3C3C3C" w:themeColor="background2" w:themeShade="40"/>
          <w:lang w:val="en-GB" w:eastAsia="en-GB"/>
        </w:rPr>
        <w:t xml:space="preserve">ountry </w:t>
      </w:r>
      <w:r w:rsidR="00FF1E42" w:rsidRPr="00394C86">
        <w:rPr>
          <w:color w:val="3C3C3C" w:themeColor="background2" w:themeShade="40"/>
          <w:lang w:val="en-GB" w:eastAsia="en-GB"/>
        </w:rPr>
        <w:t>C</w:t>
      </w:r>
      <w:r w:rsidRPr="00394C86">
        <w:rPr>
          <w:color w:val="3C3C3C" w:themeColor="background2" w:themeShade="40"/>
          <w:lang w:val="en-GB" w:eastAsia="en-GB"/>
        </w:rPr>
        <w:t>ommittees</w:t>
      </w:r>
    </w:p>
    <w:p w14:paraId="444BEBFD" w14:textId="3918ADC6" w:rsidR="007A049D" w:rsidRPr="00394C86" w:rsidRDefault="007A049D" w:rsidP="007A049D">
      <w:pPr>
        <w:pStyle w:val="ListParagraph"/>
        <w:numPr>
          <w:ilvl w:val="0"/>
          <w:numId w:val="35"/>
        </w:numPr>
        <w:spacing w:after="0" w:line="240" w:lineRule="auto"/>
        <w:rPr>
          <w:color w:val="3C3C3C" w:themeColor="background2" w:themeShade="40"/>
          <w:lang w:val="en-GB" w:eastAsia="en-GB"/>
        </w:rPr>
      </w:pPr>
      <w:r w:rsidRPr="00394C86">
        <w:rPr>
          <w:color w:val="3C3C3C" w:themeColor="background2" w:themeShade="40"/>
          <w:lang w:val="en-GB" w:eastAsia="en-GB"/>
        </w:rPr>
        <w:t>Support the review and reporting, communications outputs</w:t>
      </w:r>
      <w:r w:rsidR="001D2DA2" w:rsidRPr="00394C86">
        <w:rPr>
          <w:color w:val="3C3C3C" w:themeColor="background2" w:themeShade="40"/>
          <w:lang w:val="en-GB" w:eastAsia="en-GB"/>
        </w:rPr>
        <w:t>,</w:t>
      </w:r>
      <w:r w:rsidRPr="00394C86">
        <w:rPr>
          <w:color w:val="3C3C3C" w:themeColor="background2" w:themeShade="40"/>
          <w:lang w:val="en-GB" w:eastAsia="en-GB"/>
        </w:rPr>
        <w:t xml:space="preserve"> and evaluations associated with the program</w:t>
      </w:r>
    </w:p>
    <w:p w14:paraId="2FA913B1" w14:textId="77777777" w:rsidR="007A049D" w:rsidRPr="00394C86" w:rsidRDefault="007A049D" w:rsidP="007A049D">
      <w:pPr>
        <w:pStyle w:val="ListParagraph"/>
        <w:spacing w:after="0" w:line="240" w:lineRule="auto"/>
        <w:rPr>
          <w:color w:val="3C3C3C" w:themeColor="background2" w:themeShade="40"/>
          <w:lang w:val="en-GB" w:eastAsia="en-GB"/>
        </w:rPr>
      </w:pPr>
    </w:p>
    <w:p w14:paraId="04652B6C" w14:textId="77777777" w:rsidR="007A049D" w:rsidRPr="00394C86" w:rsidRDefault="007A049D" w:rsidP="007A049D">
      <w:pPr>
        <w:rPr>
          <w:color w:val="3C3C3C" w:themeColor="background2" w:themeShade="40"/>
          <w:lang w:val="en-GB" w:eastAsia="en-GB"/>
        </w:rPr>
      </w:pPr>
      <w:r w:rsidRPr="00394C86">
        <w:rPr>
          <w:b/>
          <w:color w:val="3C3C3C" w:themeColor="background2" w:themeShade="40"/>
          <w:lang w:val="en-GB" w:eastAsia="en-GB"/>
        </w:rPr>
        <w:t>Communications and Media Manager</w:t>
      </w:r>
    </w:p>
    <w:p w14:paraId="383F719A" w14:textId="02CF5BC7" w:rsidR="007A049D" w:rsidRPr="00394C86" w:rsidRDefault="007A049D" w:rsidP="007A049D">
      <w:pPr>
        <w:pStyle w:val="ListParagraph"/>
        <w:numPr>
          <w:ilvl w:val="0"/>
          <w:numId w:val="35"/>
        </w:numPr>
        <w:spacing w:after="0" w:line="240" w:lineRule="auto"/>
        <w:rPr>
          <w:color w:val="3C3C3C" w:themeColor="background2" w:themeShade="40"/>
        </w:rPr>
      </w:pPr>
      <w:r w:rsidRPr="00394C86">
        <w:rPr>
          <w:color w:val="3C3C3C" w:themeColor="background2" w:themeShade="40"/>
        </w:rPr>
        <w:lastRenderedPageBreak/>
        <w:t xml:space="preserve">Lead on program communications in consultation with AHP NGOs and DFAT </w:t>
      </w:r>
    </w:p>
    <w:p w14:paraId="74F5F097" w14:textId="7697DAEC" w:rsidR="007A049D" w:rsidRPr="00394C86" w:rsidRDefault="007A049D" w:rsidP="007A049D">
      <w:pPr>
        <w:pStyle w:val="ListParagraph"/>
        <w:numPr>
          <w:ilvl w:val="0"/>
          <w:numId w:val="35"/>
        </w:numPr>
        <w:spacing w:after="0" w:line="240" w:lineRule="auto"/>
        <w:rPr>
          <w:color w:val="3C3C3C" w:themeColor="background2" w:themeShade="40"/>
        </w:rPr>
      </w:pPr>
      <w:r w:rsidRPr="00394C86">
        <w:rPr>
          <w:color w:val="3C3C3C" w:themeColor="background2" w:themeShade="40"/>
        </w:rPr>
        <w:t xml:space="preserve">Identify stories that promote Disaster READY to the general public and demonstrate aid effectiveness in the Pacific and </w:t>
      </w:r>
      <w:r w:rsidR="00F3172F" w:rsidRPr="00394C86">
        <w:rPr>
          <w:color w:val="3C3C3C" w:themeColor="background2" w:themeShade="40"/>
        </w:rPr>
        <w:t>Timor-Leste</w:t>
      </w:r>
    </w:p>
    <w:p w14:paraId="1A1BD448" w14:textId="02A7C20E" w:rsidR="007A049D" w:rsidRPr="00394C86" w:rsidRDefault="007A049D" w:rsidP="007A049D">
      <w:pPr>
        <w:pStyle w:val="ListParagraph"/>
        <w:numPr>
          <w:ilvl w:val="0"/>
          <w:numId w:val="35"/>
        </w:numPr>
        <w:spacing w:after="0" w:line="240" w:lineRule="auto"/>
        <w:rPr>
          <w:color w:val="3C3C3C" w:themeColor="background2" w:themeShade="40"/>
        </w:rPr>
      </w:pPr>
      <w:r w:rsidRPr="00394C86">
        <w:rPr>
          <w:color w:val="3C3C3C" w:themeColor="background2" w:themeShade="40"/>
        </w:rPr>
        <w:t xml:space="preserve">Work closely with the MEL Manager to draw country-specific communications products from the </w:t>
      </w:r>
      <w:r w:rsidR="001D2DA2" w:rsidRPr="00394C86">
        <w:rPr>
          <w:color w:val="3C3C3C" w:themeColor="background2" w:themeShade="40"/>
        </w:rPr>
        <w:t>M&amp;E</w:t>
      </w:r>
      <w:r w:rsidRPr="00394C86">
        <w:rPr>
          <w:color w:val="3C3C3C" w:themeColor="background2" w:themeShade="40"/>
        </w:rPr>
        <w:t xml:space="preserve"> data</w:t>
      </w:r>
    </w:p>
    <w:p w14:paraId="38AB98B6" w14:textId="78CC522C" w:rsidR="007A049D" w:rsidRPr="00394C86" w:rsidRDefault="007A049D" w:rsidP="007A049D">
      <w:pPr>
        <w:pStyle w:val="ListParagraph"/>
        <w:numPr>
          <w:ilvl w:val="0"/>
          <w:numId w:val="35"/>
        </w:numPr>
        <w:spacing w:after="0" w:line="240" w:lineRule="auto"/>
        <w:rPr>
          <w:color w:val="3C3C3C" w:themeColor="background2" w:themeShade="40"/>
        </w:rPr>
      </w:pPr>
      <w:r w:rsidRPr="00394C86">
        <w:rPr>
          <w:color w:val="3C3C3C" w:themeColor="background2" w:themeShade="40"/>
        </w:rPr>
        <w:t>Update website</w:t>
      </w:r>
    </w:p>
    <w:p w14:paraId="2A0E4DB1" w14:textId="51795FF1" w:rsidR="007A049D" w:rsidRPr="00394C86" w:rsidRDefault="007A049D" w:rsidP="007A049D">
      <w:pPr>
        <w:pStyle w:val="ListParagraph"/>
        <w:numPr>
          <w:ilvl w:val="0"/>
          <w:numId w:val="35"/>
        </w:numPr>
        <w:spacing w:after="0" w:line="240" w:lineRule="auto"/>
        <w:rPr>
          <w:color w:val="3C3C3C" w:themeColor="background2" w:themeShade="40"/>
        </w:rPr>
      </w:pPr>
      <w:r w:rsidRPr="00394C86">
        <w:rPr>
          <w:color w:val="3C3C3C" w:themeColor="background2" w:themeShade="40"/>
        </w:rPr>
        <w:t>Manage the development of thematic reports</w:t>
      </w:r>
    </w:p>
    <w:p w14:paraId="01C75566" w14:textId="4B513CE3" w:rsidR="007A049D" w:rsidRPr="00394C86" w:rsidRDefault="007A049D" w:rsidP="007A049D">
      <w:pPr>
        <w:pStyle w:val="ListParagraph"/>
        <w:numPr>
          <w:ilvl w:val="0"/>
          <w:numId w:val="35"/>
        </w:numPr>
        <w:spacing w:after="0" w:line="240" w:lineRule="auto"/>
        <w:rPr>
          <w:color w:val="3C3C3C" w:themeColor="background2" w:themeShade="40"/>
        </w:rPr>
      </w:pPr>
      <w:r w:rsidRPr="00394C86">
        <w:rPr>
          <w:color w:val="3C3C3C" w:themeColor="background2" w:themeShade="40"/>
        </w:rPr>
        <w:t>Provide infographics and social media products in coordination with DFAT and AHP NGOs</w:t>
      </w:r>
    </w:p>
    <w:p w14:paraId="5723D237" w14:textId="0699B912" w:rsidR="007A049D" w:rsidRPr="00394C86" w:rsidRDefault="007A049D" w:rsidP="007A049D">
      <w:pPr>
        <w:pStyle w:val="ListParagraph"/>
        <w:numPr>
          <w:ilvl w:val="0"/>
          <w:numId w:val="35"/>
        </w:numPr>
        <w:spacing w:after="0" w:line="240" w:lineRule="auto"/>
        <w:rPr>
          <w:color w:val="3C3C3C" w:themeColor="background2" w:themeShade="40"/>
        </w:rPr>
      </w:pPr>
      <w:r w:rsidRPr="00394C86">
        <w:rPr>
          <w:color w:val="3C3C3C" w:themeColor="background2" w:themeShade="40"/>
        </w:rPr>
        <w:t>Manage in-country media visits</w:t>
      </w:r>
    </w:p>
    <w:p w14:paraId="14446F9D" w14:textId="77777777" w:rsidR="007A049D" w:rsidRPr="00394C86" w:rsidRDefault="007A049D" w:rsidP="007A049D">
      <w:pPr>
        <w:rPr>
          <w:color w:val="3C3C3C" w:themeColor="background2" w:themeShade="40"/>
        </w:rPr>
      </w:pPr>
    </w:p>
    <w:p w14:paraId="207A862C" w14:textId="114DC877" w:rsidR="007A049D" w:rsidRPr="00392774" w:rsidRDefault="007C20E0" w:rsidP="007A049D">
      <w:pPr>
        <w:pStyle w:val="Heading2"/>
        <w:rPr>
          <w:rFonts w:ascii="Calibri" w:hAnsi="Calibri" w:cs="Calibri"/>
          <w:color w:val="3C3C3C" w:themeColor="background2" w:themeShade="40"/>
        </w:rPr>
      </w:pPr>
      <w:bookmarkStart w:id="31" w:name="_Toc501451674"/>
      <w:r w:rsidRPr="00392774">
        <w:rPr>
          <w:rFonts w:ascii="Calibri" w:hAnsi="Calibri" w:cs="Calibri"/>
          <w:color w:val="3C3C3C" w:themeColor="background2" w:themeShade="40"/>
        </w:rPr>
        <w:t>A</w:t>
      </w:r>
      <w:r w:rsidR="007A049D" w:rsidRPr="00392774">
        <w:rPr>
          <w:rFonts w:ascii="Calibri" w:hAnsi="Calibri" w:cs="Calibri"/>
          <w:color w:val="3C3C3C" w:themeColor="background2" w:themeShade="40"/>
        </w:rPr>
        <w:t>dditional support services</w:t>
      </w:r>
      <w:bookmarkEnd w:id="31"/>
    </w:p>
    <w:p w14:paraId="29A18E74" w14:textId="27DB283D" w:rsidR="007A049D" w:rsidRPr="00394C86" w:rsidRDefault="007A049D" w:rsidP="007A049D">
      <w:pPr>
        <w:rPr>
          <w:b/>
          <w:color w:val="3C3C3C" w:themeColor="background2" w:themeShade="40"/>
        </w:rPr>
      </w:pPr>
      <w:r w:rsidRPr="00394C86">
        <w:rPr>
          <w:b/>
          <w:color w:val="3C3C3C" w:themeColor="background2" w:themeShade="40"/>
        </w:rPr>
        <w:t>Annual country review and planning forum management</w:t>
      </w:r>
      <w:r w:rsidR="00394C86">
        <w:rPr>
          <w:color w:val="3C3C3C" w:themeColor="background2" w:themeShade="40"/>
        </w:rPr>
        <w:br/>
      </w:r>
      <w:r w:rsidR="00394C86">
        <w:rPr>
          <w:color w:val="3C3C3C" w:themeColor="background2" w:themeShade="40"/>
        </w:rPr>
        <w:br/>
      </w:r>
      <w:r w:rsidRPr="00394C86">
        <w:rPr>
          <w:color w:val="3C3C3C" w:themeColor="background2" w:themeShade="40"/>
        </w:rPr>
        <w:t>Annual country review and planning forums support localisation by shifting decision-making to the country</w:t>
      </w:r>
      <w:r w:rsidR="00FF1E42" w:rsidRPr="00394C86">
        <w:rPr>
          <w:color w:val="3C3C3C" w:themeColor="background2" w:themeShade="40"/>
        </w:rPr>
        <w:t xml:space="preserve"> </w:t>
      </w:r>
      <w:r w:rsidRPr="00394C86">
        <w:rPr>
          <w:color w:val="3C3C3C" w:themeColor="background2" w:themeShade="40"/>
        </w:rPr>
        <w:t xml:space="preserve">level. The AHP SU will support </w:t>
      </w:r>
      <w:r w:rsidR="009D0B2B" w:rsidRPr="00394C86">
        <w:rPr>
          <w:color w:val="3C3C3C" w:themeColor="background2" w:themeShade="40"/>
        </w:rPr>
        <w:t>Country Committee</w:t>
      </w:r>
      <w:r w:rsidRPr="00394C86">
        <w:rPr>
          <w:color w:val="3C3C3C" w:themeColor="background2" w:themeShade="40"/>
        </w:rPr>
        <w:t>s by facilitating two</w:t>
      </w:r>
      <w:r w:rsidR="00FF1E42" w:rsidRPr="00394C86">
        <w:rPr>
          <w:color w:val="3C3C3C" w:themeColor="background2" w:themeShade="40"/>
        </w:rPr>
        <w:t>-</w:t>
      </w:r>
      <w:r w:rsidRPr="00394C86">
        <w:rPr>
          <w:color w:val="3C3C3C" w:themeColor="background2" w:themeShade="40"/>
        </w:rPr>
        <w:t>day forums in each AHP focus country</w:t>
      </w:r>
      <w:r w:rsidR="00FF1E42" w:rsidRPr="00394C86">
        <w:rPr>
          <w:color w:val="3C3C3C" w:themeColor="background2" w:themeShade="40"/>
        </w:rPr>
        <w:t xml:space="preserve"> so as</w:t>
      </w:r>
      <w:r w:rsidRPr="00394C86">
        <w:rPr>
          <w:color w:val="3C3C3C" w:themeColor="background2" w:themeShade="40"/>
        </w:rPr>
        <w:t xml:space="preserve"> to build a culture of joint learning and continuous improvement. The AHP SU will support the </w:t>
      </w:r>
      <w:r w:rsidR="009D0B2B" w:rsidRPr="00394C86">
        <w:rPr>
          <w:color w:val="3C3C3C" w:themeColor="background2" w:themeShade="40"/>
        </w:rPr>
        <w:t>Country Committee</w:t>
      </w:r>
      <w:r w:rsidRPr="00394C86">
        <w:rPr>
          <w:color w:val="3C3C3C" w:themeColor="background2" w:themeShade="40"/>
        </w:rPr>
        <w:t>s to engage with other key stakeholders</w:t>
      </w:r>
      <w:r w:rsidR="001D2DA2" w:rsidRPr="00394C86">
        <w:rPr>
          <w:color w:val="3C3C3C" w:themeColor="background2" w:themeShade="40"/>
        </w:rPr>
        <w:t>,</w:t>
      </w:r>
      <w:r w:rsidRPr="00394C86">
        <w:rPr>
          <w:color w:val="3C3C3C" w:themeColor="background2" w:themeShade="40"/>
        </w:rPr>
        <w:t xml:space="preserve"> including DFAT Posts, key government officials</w:t>
      </w:r>
      <w:r w:rsidR="00FF1E42" w:rsidRPr="00394C86">
        <w:rPr>
          <w:color w:val="3C3C3C" w:themeColor="background2" w:themeShade="40"/>
        </w:rPr>
        <w:t>,</w:t>
      </w:r>
      <w:r w:rsidRPr="00394C86">
        <w:rPr>
          <w:color w:val="3C3C3C" w:themeColor="background2" w:themeShade="40"/>
        </w:rPr>
        <w:t xml:space="preserve"> and broader disaster management and social inclusion actors.  The forums are an efficient way for DFAT, partner governments</w:t>
      </w:r>
      <w:r w:rsidR="00FF1E42" w:rsidRPr="00394C86">
        <w:rPr>
          <w:color w:val="3C3C3C" w:themeColor="background2" w:themeShade="40"/>
        </w:rPr>
        <w:t>,</w:t>
      </w:r>
      <w:r w:rsidRPr="00394C86">
        <w:rPr>
          <w:color w:val="3C3C3C" w:themeColor="background2" w:themeShade="40"/>
        </w:rPr>
        <w:t xml:space="preserve"> and other humanitarian stakeholders to engage with, assess and contribute to the program. They also enable full participation by people with disabilities, women and local NGOs. The events will be facilitated by a strategic facilitator with AHP SU staff providing M&amp;E, logistics and</w:t>
      </w:r>
      <w:r w:rsidR="00FF1E42" w:rsidRPr="00394C86">
        <w:rPr>
          <w:color w:val="3C3C3C" w:themeColor="background2" w:themeShade="40"/>
        </w:rPr>
        <w:t xml:space="preserve"> </w:t>
      </w:r>
      <w:r w:rsidRPr="00394C86">
        <w:rPr>
          <w:color w:val="3C3C3C" w:themeColor="background2" w:themeShade="40"/>
        </w:rPr>
        <w:t>communications support</w:t>
      </w:r>
      <w:r w:rsidR="001D2DA2" w:rsidRPr="00394C86">
        <w:rPr>
          <w:color w:val="3C3C3C" w:themeColor="background2" w:themeShade="40"/>
        </w:rPr>
        <w:t xml:space="preserve">; </w:t>
      </w:r>
      <w:r w:rsidRPr="00394C86">
        <w:rPr>
          <w:color w:val="3C3C3C" w:themeColor="background2" w:themeShade="40"/>
        </w:rPr>
        <w:t xml:space="preserve">the AHP Partnership Director </w:t>
      </w:r>
      <w:r w:rsidR="001D2DA2" w:rsidRPr="00394C86">
        <w:rPr>
          <w:color w:val="3C3C3C" w:themeColor="background2" w:themeShade="40"/>
        </w:rPr>
        <w:t xml:space="preserve">will </w:t>
      </w:r>
      <w:r w:rsidRPr="00394C86">
        <w:rPr>
          <w:color w:val="3C3C3C" w:themeColor="background2" w:themeShade="40"/>
        </w:rPr>
        <w:t>provid</w:t>
      </w:r>
      <w:r w:rsidR="001D2DA2" w:rsidRPr="00394C86">
        <w:rPr>
          <w:color w:val="3C3C3C" w:themeColor="background2" w:themeShade="40"/>
        </w:rPr>
        <w:t>e</w:t>
      </w:r>
      <w:r w:rsidRPr="00394C86">
        <w:rPr>
          <w:color w:val="3C3C3C" w:themeColor="background2" w:themeShade="40"/>
        </w:rPr>
        <w:t xml:space="preserve"> strategic support. </w:t>
      </w:r>
      <w:r w:rsidR="00394C86">
        <w:rPr>
          <w:b/>
          <w:color w:val="3C3C3C" w:themeColor="background2" w:themeShade="40"/>
        </w:rPr>
        <w:br/>
      </w:r>
      <w:r w:rsidR="00394C86">
        <w:rPr>
          <w:b/>
          <w:color w:val="3C3C3C" w:themeColor="background2" w:themeShade="40"/>
        </w:rPr>
        <w:br/>
      </w:r>
      <w:r w:rsidRPr="00394C86">
        <w:rPr>
          <w:b/>
          <w:color w:val="3C3C3C" w:themeColor="background2" w:themeShade="40"/>
        </w:rPr>
        <w:t xml:space="preserve">Strategic facilitator </w:t>
      </w:r>
      <w:r w:rsidR="00394C86">
        <w:rPr>
          <w:color w:val="3C3C3C" w:themeColor="background2" w:themeShade="40"/>
        </w:rPr>
        <w:br/>
      </w:r>
      <w:r w:rsidR="00394C86">
        <w:rPr>
          <w:color w:val="3C3C3C" w:themeColor="background2" w:themeShade="40"/>
        </w:rPr>
        <w:br/>
      </w:r>
      <w:r w:rsidRPr="00394C86">
        <w:rPr>
          <w:color w:val="3C3C3C" w:themeColor="background2" w:themeShade="40"/>
        </w:rPr>
        <w:t>The Disaster READY program requires adviser support due to the number of partners involved at country, regional and Australia level</w:t>
      </w:r>
      <w:r w:rsidR="0017386D" w:rsidRPr="00394C86">
        <w:rPr>
          <w:color w:val="3C3C3C" w:themeColor="background2" w:themeShade="40"/>
        </w:rPr>
        <w:t>s</w:t>
      </w:r>
      <w:r w:rsidRPr="00394C86">
        <w:rPr>
          <w:color w:val="3C3C3C" w:themeColor="background2" w:themeShade="40"/>
        </w:rPr>
        <w:t xml:space="preserve">. The strategic facilitator inputs will enable a focused approach to the Disaster READY program and maintain AHP SU support to the broader AHP program.  The strategic facilitator will shape the content and facilitate the annual review and planning forums </w:t>
      </w:r>
      <w:r w:rsidR="001D2DA2" w:rsidRPr="00394C86">
        <w:rPr>
          <w:color w:val="3C3C3C" w:themeColor="background2" w:themeShade="40"/>
        </w:rPr>
        <w:t xml:space="preserve">as well as </w:t>
      </w:r>
      <w:r w:rsidRPr="00394C86">
        <w:rPr>
          <w:color w:val="3C3C3C" w:themeColor="background2" w:themeShade="40"/>
        </w:rPr>
        <w:t xml:space="preserve">the regional learning event. Six days input per country annually (30 days input in total) has been budgeted for workshop preparation, facilitation and travel. Additional days have been budgeted for reporting, engaging with the </w:t>
      </w:r>
      <w:r w:rsidR="001D2DA2" w:rsidRPr="00394C86">
        <w:rPr>
          <w:color w:val="3C3C3C" w:themeColor="background2" w:themeShade="40"/>
        </w:rPr>
        <w:t>Steering Committee</w:t>
      </w:r>
      <w:r w:rsidRPr="00394C86">
        <w:rPr>
          <w:color w:val="3C3C3C" w:themeColor="background2" w:themeShade="40"/>
        </w:rPr>
        <w:t xml:space="preserve"> and </w:t>
      </w:r>
      <w:r w:rsidR="009D0B2B" w:rsidRPr="00394C86">
        <w:rPr>
          <w:color w:val="3C3C3C" w:themeColor="background2" w:themeShade="40"/>
        </w:rPr>
        <w:t>Country Committee</w:t>
      </w:r>
      <w:r w:rsidRPr="00394C86">
        <w:rPr>
          <w:color w:val="3C3C3C" w:themeColor="background2" w:themeShade="40"/>
        </w:rPr>
        <w:t xml:space="preserve"> meetings, input to the PPF </w:t>
      </w:r>
      <w:r w:rsidR="00FB497E" w:rsidRPr="00394C86">
        <w:rPr>
          <w:color w:val="3C3C3C" w:themeColor="background2" w:themeShade="40"/>
          <w:lang w:val="en-AU"/>
        </w:rPr>
        <w:t xml:space="preserve">selection criteria and application process, </w:t>
      </w:r>
      <w:r w:rsidRPr="00394C86">
        <w:rPr>
          <w:color w:val="3C3C3C" w:themeColor="background2" w:themeShade="40"/>
        </w:rPr>
        <w:t>and review of end</w:t>
      </w:r>
      <w:r w:rsidR="0017386D" w:rsidRPr="00394C86">
        <w:rPr>
          <w:color w:val="3C3C3C" w:themeColor="background2" w:themeShade="40"/>
        </w:rPr>
        <w:t>-</w:t>
      </w:r>
      <w:r w:rsidRPr="00394C86">
        <w:rPr>
          <w:color w:val="3C3C3C" w:themeColor="background2" w:themeShade="40"/>
        </w:rPr>
        <w:t>of</w:t>
      </w:r>
      <w:r w:rsidR="0017386D" w:rsidRPr="00394C86">
        <w:rPr>
          <w:color w:val="3C3C3C" w:themeColor="background2" w:themeShade="40"/>
        </w:rPr>
        <w:t>-</w:t>
      </w:r>
      <w:r w:rsidRPr="00394C86">
        <w:rPr>
          <w:color w:val="3C3C3C" w:themeColor="background2" w:themeShade="40"/>
        </w:rPr>
        <w:t>year reports and activity proposals.</w:t>
      </w:r>
      <w:r w:rsidR="00394C86">
        <w:rPr>
          <w:b/>
          <w:color w:val="3C3C3C" w:themeColor="background2" w:themeShade="40"/>
        </w:rPr>
        <w:br/>
      </w:r>
      <w:r w:rsidR="00394C86">
        <w:rPr>
          <w:b/>
          <w:color w:val="3C3C3C" w:themeColor="background2" w:themeShade="40"/>
        </w:rPr>
        <w:br/>
      </w:r>
      <w:r w:rsidRPr="00394C86">
        <w:rPr>
          <w:b/>
          <w:color w:val="3C3C3C" w:themeColor="background2" w:themeShade="40"/>
        </w:rPr>
        <w:t>Gender and disability specialists</w:t>
      </w:r>
    </w:p>
    <w:p w14:paraId="6D18C31E" w14:textId="3A84DFD4" w:rsidR="00EF7469" w:rsidRDefault="007A049D" w:rsidP="00B96967">
      <w:pPr>
        <w:spacing w:after="0"/>
        <w:rPr>
          <w:color w:val="3C3C3C" w:themeColor="background2" w:themeShade="40"/>
        </w:rPr>
      </w:pPr>
      <w:r w:rsidRPr="00394C86">
        <w:rPr>
          <w:color w:val="3C3C3C" w:themeColor="background2" w:themeShade="40"/>
        </w:rPr>
        <w:t>Social inclusion is a key focus area for the Disaster READY program</w:t>
      </w:r>
      <w:r w:rsidR="008D056D" w:rsidRPr="00394C86">
        <w:rPr>
          <w:color w:val="3C3C3C" w:themeColor="background2" w:themeShade="40"/>
        </w:rPr>
        <w:t xml:space="preserve">. It is also </w:t>
      </w:r>
      <w:r w:rsidRPr="00394C86">
        <w:rPr>
          <w:color w:val="3C3C3C" w:themeColor="background2" w:themeShade="40"/>
        </w:rPr>
        <w:t>a key priority for DFAT, particularly gender and disability inclusion. The APH SU contracted gender and disability inclusion specialists to support the design process</w:t>
      </w:r>
      <w:r w:rsidR="008D056D" w:rsidRPr="00394C86">
        <w:rPr>
          <w:color w:val="3C3C3C" w:themeColor="background2" w:themeShade="40"/>
        </w:rPr>
        <w:t xml:space="preserve"> and to provide </w:t>
      </w:r>
      <w:r w:rsidRPr="00394C86">
        <w:rPr>
          <w:color w:val="3C3C3C" w:themeColor="background2" w:themeShade="40"/>
        </w:rPr>
        <w:t>valuable inputs to the AHP NGOs.</w:t>
      </w:r>
      <w:r w:rsidR="00394C86">
        <w:rPr>
          <w:color w:val="3C3C3C" w:themeColor="background2" w:themeShade="40"/>
        </w:rPr>
        <w:br/>
      </w:r>
      <w:r w:rsidR="00394C86">
        <w:rPr>
          <w:color w:val="3C3C3C" w:themeColor="background2" w:themeShade="40"/>
        </w:rPr>
        <w:br/>
      </w:r>
      <w:r w:rsidRPr="00394C86">
        <w:rPr>
          <w:color w:val="3C3C3C" w:themeColor="background2" w:themeShade="40"/>
        </w:rPr>
        <w:t xml:space="preserve">The Disaster READY design incorporates on-going inputs to support implementation.  The budget includes 12 days </w:t>
      </w:r>
      <w:r w:rsidR="008D056D" w:rsidRPr="00394C86">
        <w:rPr>
          <w:color w:val="3C3C3C" w:themeColor="background2" w:themeShade="40"/>
        </w:rPr>
        <w:t>f</w:t>
      </w:r>
      <w:r w:rsidRPr="00394C86">
        <w:rPr>
          <w:color w:val="3C3C3C" w:themeColor="background2" w:themeShade="40"/>
        </w:rPr>
        <w:t>o</w:t>
      </w:r>
      <w:r w:rsidR="008D056D" w:rsidRPr="00394C86">
        <w:rPr>
          <w:color w:val="3C3C3C" w:themeColor="background2" w:themeShade="40"/>
        </w:rPr>
        <w:t>r</w:t>
      </w:r>
      <w:r w:rsidRPr="00394C86">
        <w:rPr>
          <w:color w:val="3C3C3C" w:themeColor="background2" w:themeShade="40"/>
        </w:rPr>
        <w:t xml:space="preserve"> each adviser annually to review and provide input into annual activity reports and </w:t>
      </w:r>
      <w:r w:rsidRPr="00394C86">
        <w:rPr>
          <w:color w:val="3C3C3C" w:themeColor="background2" w:themeShade="40"/>
        </w:rPr>
        <w:lastRenderedPageBreak/>
        <w:t xml:space="preserve">plans and </w:t>
      </w:r>
      <w:r w:rsidR="00F83E02" w:rsidRPr="00394C86">
        <w:rPr>
          <w:color w:val="3C3C3C" w:themeColor="background2" w:themeShade="40"/>
        </w:rPr>
        <w:t>shared s</w:t>
      </w:r>
      <w:r w:rsidR="00BF1A40" w:rsidRPr="00394C86">
        <w:rPr>
          <w:color w:val="3C3C3C" w:themeColor="background2" w:themeShade="40"/>
        </w:rPr>
        <w:t>ervices</w:t>
      </w:r>
      <w:r w:rsidRPr="00394C86">
        <w:rPr>
          <w:color w:val="3C3C3C" w:themeColor="background2" w:themeShade="40"/>
        </w:rPr>
        <w:t xml:space="preserve"> reports and plans. The advisers will support the NGOs to identify the extent to which country plan inclusion outcomes are being achieved.</w:t>
      </w:r>
      <w:r w:rsidR="00394C86">
        <w:rPr>
          <w:b/>
          <w:color w:val="3C3C3C" w:themeColor="background2" w:themeShade="40"/>
        </w:rPr>
        <w:br/>
      </w:r>
      <w:r w:rsidR="00394C86" w:rsidRPr="00394C86">
        <w:rPr>
          <w:b/>
          <w:color w:val="3C3C3C" w:themeColor="background2" w:themeShade="40"/>
        </w:rPr>
        <w:br/>
      </w:r>
      <w:r w:rsidRPr="00394C86">
        <w:rPr>
          <w:b/>
          <w:color w:val="3C3C3C" w:themeColor="background2" w:themeShade="40"/>
        </w:rPr>
        <w:t>P</w:t>
      </w:r>
      <w:r w:rsidR="00586406" w:rsidRPr="00394C86">
        <w:rPr>
          <w:b/>
          <w:color w:val="3C3C3C" w:themeColor="background2" w:themeShade="40"/>
        </w:rPr>
        <w:t>PF</w:t>
      </w:r>
      <w:r w:rsidRPr="00394C86">
        <w:rPr>
          <w:b/>
          <w:color w:val="3C3C3C" w:themeColor="background2" w:themeShade="40"/>
        </w:rPr>
        <w:t xml:space="preserve"> selection process and technical specialis</w:t>
      </w:r>
      <w:r w:rsidR="00394C86" w:rsidRPr="00392774">
        <w:rPr>
          <w:b/>
          <w:color w:val="3C3C3C" w:themeColor="background2" w:themeShade="40"/>
        </w:rPr>
        <w:t>t</w:t>
      </w:r>
      <w:r w:rsidR="00394C86">
        <w:rPr>
          <w:color w:val="3C3C3C" w:themeColor="background2" w:themeShade="40"/>
        </w:rPr>
        <w:br/>
      </w:r>
      <w:r w:rsidR="00394C86">
        <w:rPr>
          <w:color w:val="3C3C3C" w:themeColor="background2" w:themeShade="40"/>
        </w:rPr>
        <w:br/>
      </w:r>
      <w:r w:rsidRPr="00394C86">
        <w:rPr>
          <w:color w:val="3C3C3C" w:themeColor="background2" w:themeShade="40"/>
        </w:rPr>
        <w:t xml:space="preserve">The Disaster READY design commits AHP NGOs to a robust selection process for competitive grants under the PPF. The AHP SU will manage consultations with </w:t>
      </w:r>
      <w:r w:rsidR="009D0B2B" w:rsidRPr="00394C86">
        <w:rPr>
          <w:color w:val="3C3C3C" w:themeColor="background2" w:themeShade="40"/>
        </w:rPr>
        <w:t>Country Committee</w:t>
      </w:r>
      <w:r w:rsidRPr="00394C86">
        <w:rPr>
          <w:color w:val="3C3C3C" w:themeColor="background2" w:themeShade="40"/>
        </w:rPr>
        <w:t xml:space="preserve">s and the </w:t>
      </w:r>
      <w:r w:rsidR="00586406" w:rsidRPr="00394C86">
        <w:rPr>
          <w:color w:val="3C3C3C" w:themeColor="background2" w:themeShade="40"/>
        </w:rPr>
        <w:t xml:space="preserve">Steering Committee </w:t>
      </w:r>
      <w:r w:rsidRPr="00394C86">
        <w:rPr>
          <w:color w:val="3C3C3C" w:themeColor="background2" w:themeShade="40"/>
        </w:rPr>
        <w:t xml:space="preserve">on selection criteria for the PPF. The </w:t>
      </w:r>
      <w:r w:rsidRPr="00394C86">
        <w:rPr>
          <w:color w:val="3C3C3C" w:themeColor="background2" w:themeShade="40"/>
          <w:lang w:val="en-AU"/>
        </w:rPr>
        <w:t>final selection criteria, application process</w:t>
      </w:r>
      <w:r w:rsidR="008D056D" w:rsidRPr="00394C86">
        <w:rPr>
          <w:color w:val="3C3C3C" w:themeColor="background2" w:themeShade="40"/>
          <w:lang w:val="en-AU"/>
        </w:rPr>
        <w:t>,</w:t>
      </w:r>
      <w:r w:rsidRPr="00394C86">
        <w:rPr>
          <w:color w:val="3C3C3C" w:themeColor="background2" w:themeShade="40"/>
          <w:lang w:val="en-AU"/>
        </w:rPr>
        <w:t xml:space="preserve"> and funding available in each round will be determined by the DFAT Humanitarian Preparedness and Response Section, with the AHP SU managing administration of the application and assessment process. </w:t>
      </w:r>
      <w:r w:rsidRPr="00394C86">
        <w:rPr>
          <w:color w:val="3C3C3C" w:themeColor="background2" w:themeShade="40"/>
        </w:rPr>
        <w:t>The AHP SU will provide an independent technical specialist for the selection panel which will be chaired by DFAT.</w:t>
      </w:r>
      <w:r w:rsidR="00394C86">
        <w:rPr>
          <w:b/>
          <w:color w:val="3C3C3C" w:themeColor="background2" w:themeShade="40"/>
        </w:rPr>
        <w:br/>
      </w:r>
      <w:r w:rsidR="00394C86">
        <w:rPr>
          <w:b/>
          <w:color w:val="3C3C3C" w:themeColor="background2" w:themeShade="40"/>
        </w:rPr>
        <w:br/>
      </w:r>
      <w:r w:rsidRPr="00394C86">
        <w:rPr>
          <w:b/>
          <w:color w:val="3C3C3C" w:themeColor="background2" w:themeShade="40"/>
        </w:rPr>
        <w:t>Regional learning event management</w:t>
      </w:r>
      <w:r w:rsidR="00394C86">
        <w:rPr>
          <w:color w:val="3C3C3C" w:themeColor="background2" w:themeShade="40"/>
        </w:rPr>
        <w:br/>
      </w:r>
      <w:r w:rsidR="00394C86">
        <w:rPr>
          <w:color w:val="3C3C3C" w:themeColor="background2" w:themeShade="40"/>
        </w:rPr>
        <w:br/>
      </w:r>
      <w:r w:rsidRPr="00394C86">
        <w:rPr>
          <w:color w:val="3C3C3C" w:themeColor="background2" w:themeShade="40"/>
        </w:rPr>
        <w:t xml:space="preserve">Annual reviews will be supplemented with a learning event </w:t>
      </w:r>
      <w:r w:rsidR="000640CF">
        <w:rPr>
          <w:color w:val="3C3C3C" w:themeColor="background2" w:themeShade="40"/>
        </w:rPr>
        <w:t xml:space="preserve">in year two </w:t>
      </w:r>
      <w:r w:rsidRPr="00394C86">
        <w:rPr>
          <w:color w:val="3C3C3C" w:themeColor="background2" w:themeShade="40"/>
        </w:rPr>
        <w:t>to be held in the Pacific region. This event will be facilitated by the AHP SU</w:t>
      </w:r>
      <w:r w:rsidR="00586406" w:rsidRPr="00394C86">
        <w:rPr>
          <w:color w:val="3C3C3C" w:themeColor="background2" w:themeShade="40"/>
        </w:rPr>
        <w:t xml:space="preserve">. It will </w:t>
      </w:r>
      <w:r w:rsidRPr="00394C86">
        <w:rPr>
          <w:color w:val="3C3C3C" w:themeColor="background2" w:themeShade="40"/>
        </w:rPr>
        <w:t>provide cross-learning opportunities for the program so that countries can learn from each other’s experiences. The events will be facilitated by a strategic facilitator with AHP SU staff providing M&amp;E, logistics and</w:t>
      </w:r>
      <w:r w:rsidR="00FD538C" w:rsidRPr="00394C86">
        <w:rPr>
          <w:color w:val="3C3C3C" w:themeColor="background2" w:themeShade="40"/>
        </w:rPr>
        <w:t xml:space="preserve">/or </w:t>
      </w:r>
      <w:r w:rsidRPr="00394C86">
        <w:rPr>
          <w:color w:val="3C3C3C" w:themeColor="background2" w:themeShade="40"/>
        </w:rPr>
        <w:t xml:space="preserve">communications support, and the AHP Partnership Director providing strategic support. AHP NGOs are expected to fund their participation in the event </w:t>
      </w:r>
      <w:r w:rsidR="000640CF">
        <w:rPr>
          <w:color w:val="3C3C3C" w:themeColor="background2" w:themeShade="40"/>
        </w:rPr>
        <w:t xml:space="preserve">(including a representative from each country, and a representative from the ANGO) </w:t>
      </w:r>
      <w:r w:rsidRPr="00394C86">
        <w:rPr>
          <w:color w:val="3C3C3C" w:themeColor="background2" w:themeShade="40"/>
        </w:rPr>
        <w:t xml:space="preserve">through </w:t>
      </w:r>
      <w:r w:rsidR="00FD538C" w:rsidRPr="00394C86">
        <w:rPr>
          <w:color w:val="3C3C3C" w:themeColor="background2" w:themeShade="40"/>
        </w:rPr>
        <w:t>M</w:t>
      </w:r>
      <w:r w:rsidRPr="00394C86">
        <w:rPr>
          <w:color w:val="3C3C3C" w:themeColor="background2" w:themeShade="40"/>
        </w:rPr>
        <w:t>echanism 1 core multi-year funds.</w:t>
      </w:r>
      <w:r w:rsidR="00394C86">
        <w:rPr>
          <w:color w:val="3C3C3C" w:themeColor="background2" w:themeShade="40"/>
        </w:rPr>
        <w:br/>
      </w:r>
      <w:r w:rsidR="00394C86">
        <w:rPr>
          <w:color w:val="3C3C3C" w:themeColor="background2" w:themeShade="40"/>
        </w:rPr>
        <w:br/>
      </w:r>
      <w:r w:rsidRPr="00394C86">
        <w:rPr>
          <w:color w:val="3C3C3C" w:themeColor="background2" w:themeShade="40"/>
        </w:rPr>
        <w:t xml:space="preserve">DFAT expects to undertake an independent evaluation in Year 4 to assess impact and inform the potential design </w:t>
      </w:r>
      <w:r w:rsidR="00586406" w:rsidRPr="00392774">
        <w:rPr>
          <w:color w:val="3C3C3C" w:themeColor="background2" w:themeShade="40"/>
        </w:rPr>
        <w:t>of the</w:t>
      </w:r>
      <w:r w:rsidR="00586406" w:rsidRPr="00394C86">
        <w:rPr>
          <w:color w:val="3C3C3C" w:themeColor="background2" w:themeShade="40"/>
        </w:rPr>
        <w:t xml:space="preserve"> </w:t>
      </w:r>
      <w:r w:rsidRPr="00392774">
        <w:rPr>
          <w:color w:val="3C3C3C" w:themeColor="background2" w:themeShade="40"/>
        </w:rPr>
        <w:t xml:space="preserve">second phase of the program. DFAT may consider an additional regional learning forum as part of a design process. This is not currently funded in the program. </w:t>
      </w:r>
      <w:r w:rsidR="00394C86">
        <w:rPr>
          <w:b/>
          <w:color w:val="3C3C3C" w:themeColor="background2" w:themeShade="40"/>
        </w:rPr>
        <w:br/>
      </w:r>
      <w:r w:rsidR="00394C86">
        <w:rPr>
          <w:b/>
          <w:color w:val="3C3C3C" w:themeColor="background2" w:themeShade="40"/>
        </w:rPr>
        <w:br/>
      </w:r>
      <w:r w:rsidRPr="00392774">
        <w:rPr>
          <w:b/>
          <w:color w:val="3C3C3C" w:themeColor="background2" w:themeShade="40"/>
        </w:rPr>
        <w:t xml:space="preserve">M&amp;E and communications </w:t>
      </w:r>
      <w:r w:rsidR="00394C86">
        <w:rPr>
          <w:color w:val="3C3C3C" w:themeColor="background2" w:themeShade="40"/>
        </w:rPr>
        <w:br/>
      </w:r>
      <w:r w:rsidR="00394C86">
        <w:rPr>
          <w:color w:val="3C3C3C" w:themeColor="background2" w:themeShade="40"/>
        </w:rPr>
        <w:br/>
      </w:r>
      <w:r w:rsidRPr="00392774">
        <w:rPr>
          <w:color w:val="3C3C3C" w:themeColor="background2" w:themeShade="40"/>
        </w:rPr>
        <w:t xml:space="preserve">In </w:t>
      </w:r>
      <w:r w:rsidR="00106244" w:rsidRPr="00394C86">
        <w:rPr>
          <w:color w:val="3C3C3C" w:themeColor="background2" w:themeShade="40"/>
        </w:rPr>
        <w:t>Year 1</w:t>
      </w:r>
      <w:r w:rsidRPr="00394C86">
        <w:rPr>
          <w:color w:val="3C3C3C" w:themeColor="background2" w:themeShade="40"/>
        </w:rPr>
        <w:t xml:space="preserve"> the AHP SU MEL Manager will travel to each Disaster READY country to</w:t>
      </w:r>
      <w:r w:rsidR="000640CF">
        <w:rPr>
          <w:color w:val="3C3C3C" w:themeColor="background2" w:themeShade="40"/>
        </w:rPr>
        <w:t xml:space="preserve"> ensure a clear and consistent approach is used to define the common indicators and associated methodologies</w:t>
      </w:r>
      <w:r w:rsidR="00EF7469">
        <w:rPr>
          <w:color w:val="3C3C3C" w:themeColor="background2" w:themeShade="40"/>
        </w:rPr>
        <w:t xml:space="preserve">. This will help to enable the analysis of </w:t>
      </w:r>
      <w:r w:rsidR="00FD538C" w:rsidRPr="00394C86">
        <w:rPr>
          <w:color w:val="3C3C3C" w:themeColor="background2" w:themeShade="40"/>
        </w:rPr>
        <w:t>c</w:t>
      </w:r>
      <w:r w:rsidRPr="00394C86">
        <w:rPr>
          <w:color w:val="3C3C3C" w:themeColor="background2" w:themeShade="40"/>
        </w:rPr>
        <w:t xml:space="preserve">ountry </w:t>
      </w:r>
      <w:r w:rsidR="00FD538C" w:rsidRPr="00394C86">
        <w:rPr>
          <w:color w:val="3C3C3C" w:themeColor="background2" w:themeShade="40"/>
        </w:rPr>
        <w:t>p</w:t>
      </w:r>
      <w:r w:rsidRPr="00394C86">
        <w:rPr>
          <w:color w:val="3C3C3C" w:themeColor="background2" w:themeShade="40"/>
        </w:rPr>
        <w:t xml:space="preserve">lan outcomes that can be </w:t>
      </w:r>
      <w:r w:rsidR="00EF7469">
        <w:rPr>
          <w:color w:val="3C3C3C" w:themeColor="background2" w:themeShade="40"/>
        </w:rPr>
        <w:t xml:space="preserve">synthesised </w:t>
      </w:r>
      <w:r w:rsidRPr="00394C86">
        <w:rPr>
          <w:color w:val="3C3C3C" w:themeColor="background2" w:themeShade="40"/>
        </w:rPr>
        <w:t>for program</w:t>
      </w:r>
      <w:r w:rsidR="00FD538C" w:rsidRPr="00394C86">
        <w:rPr>
          <w:color w:val="3C3C3C" w:themeColor="background2" w:themeShade="40"/>
        </w:rPr>
        <w:t>-</w:t>
      </w:r>
      <w:r w:rsidRPr="00394C86">
        <w:rPr>
          <w:color w:val="3C3C3C" w:themeColor="background2" w:themeShade="40"/>
        </w:rPr>
        <w:t xml:space="preserve">wide reporting. This foundation will be built on through the annual review and planning process.  </w:t>
      </w:r>
      <w:r w:rsidR="00394C86">
        <w:rPr>
          <w:color w:val="3C3C3C" w:themeColor="background2" w:themeShade="40"/>
        </w:rPr>
        <w:br/>
      </w:r>
      <w:r w:rsidR="00394C86">
        <w:rPr>
          <w:color w:val="3C3C3C" w:themeColor="background2" w:themeShade="40"/>
        </w:rPr>
        <w:br/>
      </w:r>
      <w:r w:rsidRPr="00394C86">
        <w:rPr>
          <w:color w:val="3C3C3C" w:themeColor="background2" w:themeShade="40"/>
        </w:rPr>
        <w:t xml:space="preserve">Two </w:t>
      </w:r>
      <w:r w:rsidR="00EF7469">
        <w:rPr>
          <w:color w:val="3C3C3C" w:themeColor="background2" w:themeShade="40"/>
        </w:rPr>
        <w:t xml:space="preserve">small-scale </w:t>
      </w:r>
      <w:r w:rsidRPr="00394C86">
        <w:rPr>
          <w:color w:val="3C3C3C" w:themeColor="background2" w:themeShade="40"/>
        </w:rPr>
        <w:t xml:space="preserve">thematic evaluations </w:t>
      </w:r>
      <w:r w:rsidR="00EF7469">
        <w:rPr>
          <w:color w:val="3C3C3C" w:themeColor="background2" w:themeShade="40"/>
        </w:rPr>
        <w:t xml:space="preserve">will be held </w:t>
      </w:r>
      <w:r w:rsidRPr="00394C86">
        <w:rPr>
          <w:color w:val="3C3C3C" w:themeColor="background2" w:themeShade="40"/>
        </w:rPr>
        <w:t>over the life of the program focus</w:t>
      </w:r>
      <w:r w:rsidR="00EF7469">
        <w:rPr>
          <w:color w:val="3C3C3C" w:themeColor="background2" w:themeShade="40"/>
        </w:rPr>
        <w:t>ing</w:t>
      </w:r>
      <w:r w:rsidRPr="00394C86">
        <w:rPr>
          <w:color w:val="3C3C3C" w:themeColor="background2" w:themeShade="40"/>
        </w:rPr>
        <w:t xml:space="preserve"> on key themes of Disaster READY</w:t>
      </w:r>
      <w:r w:rsidR="00586406" w:rsidRPr="00394C86">
        <w:rPr>
          <w:color w:val="3C3C3C" w:themeColor="background2" w:themeShade="40"/>
        </w:rPr>
        <w:t>,</w:t>
      </w:r>
      <w:r w:rsidRPr="00394C86">
        <w:rPr>
          <w:color w:val="3C3C3C" w:themeColor="background2" w:themeShade="40"/>
        </w:rPr>
        <w:t xml:space="preserve"> such as disability inclusion, gender equality, localisation, and/or NGO coordination. </w:t>
      </w:r>
      <w:r w:rsidR="00EF7469">
        <w:rPr>
          <w:color w:val="3C3C3C" w:themeColor="background2" w:themeShade="40"/>
        </w:rPr>
        <w:t>In addition, two post-disaster evaluations will be held to assess the extent to which the preparedness efforts contributed to the response. The evaluations will be small-scale</w:t>
      </w:r>
      <w:r w:rsidR="00B96967">
        <w:rPr>
          <w:color w:val="3C3C3C" w:themeColor="background2" w:themeShade="40"/>
        </w:rPr>
        <w:t>:</w:t>
      </w:r>
      <w:r w:rsidR="00EF7469">
        <w:rPr>
          <w:color w:val="3C3C3C" w:themeColor="background2" w:themeShade="40"/>
        </w:rPr>
        <w:t xml:space="preserve"> two involving some travel to the field, and two being limited to desk assessments. </w:t>
      </w:r>
      <w:r w:rsidR="00B96967">
        <w:rPr>
          <w:color w:val="3C3C3C" w:themeColor="background2" w:themeShade="40"/>
        </w:rPr>
        <w:t>The M&amp;E Manager will help to coordinate these evaluations, and will also provide support to the independent evaluation in year 4 as required.</w:t>
      </w:r>
    </w:p>
    <w:p w14:paraId="7802009E" w14:textId="6622F930" w:rsidR="007A049D" w:rsidRPr="00394C86" w:rsidRDefault="0014450E" w:rsidP="00EF7469">
      <w:pPr>
        <w:rPr>
          <w:color w:val="3C3C3C" w:themeColor="background2" w:themeShade="40"/>
        </w:rPr>
      </w:pPr>
      <w:r>
        <w:rPr>
          <w:color w:val="3C3C3C" w:themeColor="background2" w:themeShade="40"/>
        </w:rPr>
        <w:br/>
      </w:r>
      <w:r w:rsidR="007A049D" w:rsidRPr="00394C86">
        <w:rPr>
          <w:color w:val="3C3C3C" w:themeColor="background2" w:themeShade="40"/>
        </w:rPr>
        <w:t>The</w:t>
      </w:r>
      <w:r w:rsidR="00B96967">
        <w:rPr>
          <w:color w:val="3C3C3C" w:themeColor="background2" w:themeShade="40"/>
        </w:rPr>
        <w:t>se</w:t>
      </w:r>
      <w:r w:rsidR="007A049D" w:rsidRPr="00394C86">
        <w:rPr>
          <w:color w:val="3C3C3C" w:themeColor="background2" w:themeShade="40"/>
        </w:rPr>
        <w:t xml:space="preserve"> evaluations will inform the communications strategy for the program, providing the source material that brings the ability to tell a story about the results achieved. An annual media/journalist visit will be supported</w:t>
      </w:r>
      <w:r w:rsidR="00586406" w:rsidRPr="00394C86">
        <w:rPr>
          <w:color w:val="3C3C3C" w:themeColor="background2" w:themeShade="40"/>
        </w:rPr>
        <w:t xml:space="preserve">. </w:t>
      </w:r>
      <w:r w:rsidR="00A6519C" w:rsidRPr="00394C86">
        <w:rPr>
          <w:color w:val="3C3C3C" w:themeColor="background2" w:themeShade="40"/>
        </w:rPr>
        <w:t>At least one</w:t>
      </w:r>
      <w:r w:rsidR="00586406" w:rsidRPr="00394C86">
        <w:rPr>
          <w:color w:val="3C3C3C" w:themeColor="background2" w:themeShade="40"/>
        </w:rPr>
        <w:t xml:space="preserve"> </w:t>
      </w:r>
      <w:r w:rsidR="007A049D" w:rsidRPr="00394C86">
        <w:rPr>
          <w:color w:val="3C3C3C" w:themeColor="background2" w:themeShade="40"/>
        </w:rPr>
        <w:t xml:space="preserve">journalist </w:t>
      </w:r>
      <w:r w:rsidR="00586406" w:rsidRPr="00394C86">
        <w:rPr>
          <w:color w:val="3C3C3C" w:themeColor="background2" w:themeShade="40"/>
        </w:rPr>
        <w:t xml:space="preserve">will be brought </w:t>
      </w:r>
      <w:r w:rsidR="007A049D" w:rsidRPr="00394C86">
        <w:rPr>
          <w:color w:val="3C3C3C" w:themeColor="background2" w:themeShade="40"/>
        </w:rPr>
        <w:t xml:space="preserve">to the field in each country </w:t>
      </w:r>
      <w:r w:rsidR="00586406" w:rsidRPr="00394C86">
        <w:rPr>
          <w:color w:val="3C3C3C" w:themeColor="background2" w:themeShade="40"/>
        </w:rPr>
        <w:t xml:space="preserve">in order for them </w:t>
      </w:r>
      <w:r w:rsidR="007A049D" w:rsidRPr="00394C86">
        <w:rPr>
          <w:color w:val="3C3C3C" w:themeColor="background2" w:themeShade="40"/>
        </w:rPr>
        <w:t xml:space="preserve">to </w:t>
      </w:r>
      <w:r w:rsidR="007A049D" w:rsidRPr="00394C86">
        <w:rPr>
          <w:color w:val="3C3C3C" w:themeColor="background2" w:themeShade="40"/>
        </w:rPr>
        <w:lastRenderedPageBreak/>
        <w:t xml:space="preserve">see the impact of AHP programs and </w:t>
      </w:r>
      <w:r w:rsidR="00586406" w:rsidRPr="00394C86">
        <w:rPr>
          <w:color w:val="3C3C3C" w:themeColor="background2" w:themeShade="40"/>
        </w:rPr>
        <w:t xml:space="preserve">to </w:t>
      </w:r>
      <w:r w:rsidR="007A049D" w:rsidRPr="00394C86">
        <w:rPr>
          <w:color w:val="3C3C3C" w:themeColor="background2" w:themeShade="40"/>
        </w:rPr>
        <w:t xml:space="preserve">file stories that can be rolled out annually. The AHP SU will manage these visits and include briefings with DFAT in Canberra, and travel to selected program sites in consultation with DFAT Posts. </w:t>
      </w:r>
      <w:r>
        <w:rPr>
          <w:b/>
          <w:color w:val="3C3C3C" w:themeColor="background2" w:themeShade="40"/>
        </w:rPr>
        <w:br/>
      </w:r>
      <w:r>
        <w:rPr>
          <w:b/>
          <w:color w:val="3C3C3C" w:themeColor="background2" w:themeShade="40"/>
        </w:rPr>
        <w:br/>
      </w:r>
      <w:r w:rsidR="007A049D" w:rsidRPr="00394C86">
        <w:rPr>
          <w:b/>
          <w:color w:val="3C3C3C" w:themeColor="background2" w:themeShade="40"/>
        </w:rPr>
        <w:t>Administration Surge</w:t>
      </w:r>
      <w:r>
        <w:rPr>
          <w:color w:val="3C3C3C" w:themeColor="background2" w:themeShade="40"/>
        </w:rPr>
        <w:br/>
      </w:r>
      <w:r>
        <w:rPr>
          <w:color w:val="3C3C3C" w:themeColor="background2" w:themeShade="40"/>
        </w:rPr>
        <w:br/>
      </w:r>
      <w:r w:rsidR="007A049D" w:rsidRPr="00394C86">
        <w:rPr>
          <w:color w:val="3C3C3C" w:themeColor="background2" w:themeShade="40"/>
        </w:rPr>
        <w:t xml:space="preserve">The program will increase the workload, including program administrative oversight, of the AHP SU Operations and Grants Manager. An additional two days per month has been budgeted to cater for increased administrative support that will be required to assist in providing back-office functions such as travel logistics, acquittal processes, event organising (country and regional events), and secretariat support. </w:t>
      </w:r>
      <w:r>
        <w:rPr>
          <w:color w:val="3C3C3C" w:themeColor="background2" w:themeShade="40"/>
        </w:rPr>
        <w:br/>
      </w:r>
    </w:p>
    <w:p w14:paraId="78DEB978" w14:textId="7FBE4541" w:rsidR="006734E5" w:rsidRPr="00392774" w:rsidRDefault="006734E5" w:rsidP="000B60BA">
      <w:pPr>
        <w:pStyle w:val="Heading1"/>
        <w:rPr>
          <w:rFonts w:ascii="Calibri" w:hAnsi="Calibri" w:cs="Calibri"/>
        </w:rPr>
      </w:pPr>
      <w:bookmarkStart w:id="32" w:name="_Toc499652279"/>
      <w:bookmarkStart w:id="33" w:name="_Toc501451675"/>
      <w:r w:rsidRPr="00392774">
        <w:rPr>
          <w:rFonts w:ascii="Calibri" w:hAnsi="Calibri" w:cs="Calibri"/>
        </w:rPr>
        <w:t>Monitoring, Evaluation and Communication</w:t>
      </w:r>
      <w:bookmarkEnd w:id="32"/>
      <w:bookmarkEnd w:id="33"/>
    </w:p>
    <w:p w14:paraId="2DFE1957" w14:textId="4DC58596" w:rsidR="006734E5" w:rsidRPr="00394C86" w:rsidRDefault="006734E5" w:rsidP="000B60BA">
      <w:pPr>
        <w:spacing w:after="120"/>
        <w:rPr>
          <w:rFonts w:eastAsia="SimSun"/>
          <w:color w:val="3C3C3C"/>
        </w:rPr>
      </w:pPr>
      <w:r w:rsidRPr="00394C86">
        <w:rPr>
          <w:rFonts w:eastAsia="SimSun"/>
          <w:color w:val="3C3C3C"/>
        </w:rPr>
        <w:t xml:space="preserve">This section describes the </w:t>
      </w:r>
      <w:r w:rsidR="00575600" w:rsidRPr="00394C86">
        <w:rPr>
          <w:rFonts w:eastAsia="SimSun"/>
          <w:color w:val="3C3C3C"/>
        </w:rPr>
        <w:t>M&amp;E</w:t>
      </w:r>
      <w:r w:rsidRPr="00394C86">
        <w:rPr>
          <w:rFonts w:eastAsia="SimSun"/>
          <w:color w:val="3C3C3C"/>
        </w:rPr>
        <w:t xml:space="preserve"> system for Disaster READY</w:t>
      </w:r>
      <w:r w:rsidR="003634B6" w:rsidRPr="00394C86">
        <w:rPr>
          <w:rFonts w:eastAsia="SimSun"/>
          <w:color w:val="3C3C3C"/>
        </w:rPr>
        <w:t xml:space="preserve"> </w:t>
      </w:r>
      <w:r w:rsidRPr="00394C86">
        <w:rPr>
          <w:rFonts w:eastAsia="SimSun"/>
          <w:color w:val="3C3C3C"/>
        </w:rPr>
        <w:t xml:space="preserve">and how </w:t>
      </w:r>
      <w:r w:rsidR="003634B6" w:rsidRPr="00394C86">
        <w:rPr>
          <w:rFonts w:eastAsia="SimSun"/>
          <w:color w:val="3C3C3C"/>
        </w:rPr>
        <w:t xml:space="preserve">the </w:t>
      </w:r>
      <w:r w:rsidRPr="00394C86">
        <w:rPr>
          <w:rFonts w:eastAsia="SimSun"/>
          <w:color w:val="3C3C3C"/>
        </w:rPr>
        <w:t>results will be disseminated.</w:t>
      </w:r>
      <w:r w:rsidR="0014450E">
        <w:rPr>
          <w:rFonts w:eastAsia="SimSun"/>
          <w:color w:val="3C3C3C"/>
        </w:rPr>
        <w:br/>
      </w:r>
      <w:r w:rsidR="0014450E">
        <w:rPr>
          <w:rFonts w:eastAsia="SimSun"/>
          <w:color w:val="3C3C3C"/>
        </w:rPr>
        <w:br/>
      </w:r>
      <w:r w:rsidRPr="00394C86">
        <w:rPr>
          <w:rFonts w:eastAsia="SimSun"/>
          <w:color w:val="3C3C3C"/>
        </w:rPr>
        <w:t>Monitoring and evaluation of program performance and changes in the context will be critical to enable the program to understand and demonstrate where there have been successes and to adapt or move away from areas that are underperforming.</w:t>
      </w:r>
      <w:r w:rsidR="0014450E">
        <w:rPr>
          <w:rFonts w:eastAsia="SimSun"/>
          <w:color w:val="3C3C3C"/>
        </w:rPr>
        <w:br/>
      </w:r>
      <w:r w:rsidR="0014450E">
        <w:rPr>
          <w:rFonts w:eastAsia="SimSun"/>
          <w:color w:val="3C3C3C"/>
        </w:rPr>
        <w:br/>
      </w:r>
      <w:r w:rsidRPr="00394C86">
        <w:rPr>
          <w:rFonts w:eastAsia="SimSun"/>
          <w:color w:val="3C3C3C"/>
        </w:rPr>
        <w:t>There are several purposes for the Disaster READY M&amp;E system. These are to support:</w:t>
      </w:r>
    </w:p>
    <w:p w14:paraId="081EEC76" w14:textId="606746CF" w:rsidR="006734E5" w:rsidRPr="00394C86" w:rsidRDefault="006734E5" w:rsidP="000B60BA">
      <w:pPr>
        <w:numPr>
          <w:ilvl w:val="0"/>
          <w:numId w:val="18"/>
        </w:numPr>
        <w:spacing w:after="120"/>
        <w:ind w:left="714" w:hanging="357"/>
        <w:contextualSpacing/>
        <w:rPr>
          <w:rFonts w:eastAsia="Corbel"/>
          <w:color w:val="3C3C3C"/>
        </w:rPr>
      </w:pPr>
      <w:r w:rsidRPr="00394C86">
        <w:rPr>
          <w:rFonts w:eastAsia="Corbel"/>
          <w:b/>
          <w:color w:val="3C3C3C"/>
        </w:rPr>
        <w:t>Learning and improvement</w:t>
      </w:r>
      <w:r w:rsidRPr="00394C86">
        <w:rPr>
          <w:rFonts w:eastAsia="Corbel"/>
          <w:color w:val="3C3C3C"/>
        </w:rPr>
        <w:t xml:space="preserve"> by DFAT and AHP NGOs and partners within each country </w:t>
      </w:r>
    </w:p>
    <w:p w14:paraId="256213C8" w14:textId="7514677C" w:rsidR="006734E5" w:rsidRPr="00394C86" w:rsidRDefault="006734E5" w:rsidP="000B60BA">
      <w:pPr>
        <w:numPr>
          <w:ilvl w:val="0"/>
          <w:numId w:val="18"/>
        </w:numPr>
        <w:spacing w:after="120"/>
        <w:contextualSpacing/>
        <w:rPr>
          <w:rFonts w:eastAsia="Corbel"/>
          <w:color w:val="3C3C3C"/>
        </w:rPr>
      </w:pPr>
      <w:r w:rsidRPr="00394C86">
        <w:rPr>
          <w:rFonts w:eastAsia="Corbel"/>
          <w:b/>
          <w:color w:val="3C3C3C"/>
        </w:rPr>
        <w:t>Accountability</w:t>
      </w:r>
      <w:r w:rsidRPr="00394C86">
        <w:rPr>
          <w:rFonts w:eastAsia="Corbel"/>
          <w:color w:val="3C3C3C"/>
        </w:rPr>
        <w:t xml:space="preserve"> requirements to DFAT, communities and other stakeholders in the Pacific about the use of program resources and the achievement of outcomes</w:t>
      </w:r>
    </w:p>
    <w:p w14:paraId="3E9D99E0" w14:textId="7F3E043D" w:rsidR="006734E5" w:rsidRPr="00394C86" w:rsidRDefault="006734E5" w:rsidP="000B60BA">
      <w:pPr>
        <w:numPr>
          <w:ilvl w:val="0"/>
          <w:numId w:val="18"/>
        </w:numPr>
        <w:spacing w:after="120"/>
        <w:contextualSpacing/>
        <w:rPr>
          <w:rFonts w:eastAsia="Corbel"/>
          <w:color w:val="3C3C3C"/>
        </w:rPr>
      </w:pPr>
      <w:r w:rsidRPr="00394C86">
        <w:rPr>
          <w:rFonts w:eastAsia="Corbel"/>
          <w:b/>
          <w:color w:val="3C3C3C"/>
        </w:rPr>
        <w:t>Program management</w:t>
      </w:r>
      <w:r w:rsidRPr="00394C86">
        <w:rPr>
          <w:rFonts w:eastAsia="Corbel"/>
          <w:color w:val="3C3C3C"/>
        </w:rPr>
        <w:t xml:space="preserve"> </w:t>
      </w:r>
      <w:r w:rsidRPr="00394C86">
        <w:rPr>
          <w:rFonts w:eastAsia="Corbel"/>
          <w:b/>
          <w:color w:val="3C3C3C"/>
        </w:rPr>
        <w:t xml:space="preserve">and </w:t>
      </w:r>
      <w:r w:rsidR="00964F8D" w:rsidRPr="00394C86">
        <w:rPr>
          <w:rFonts w:eastAsia="Corbel"/>
          <w:b/>
          <w:color w:val="3C3C3C"/>
        </w:rPr>
        <w:t>decision-making</w:t>
      </w:r>
      <w:r w:rsidRPr="00394C86">
        <w:rPr>
          <w:rFonts w:eastAsia="Corbel"/>
          <w:color w:val="3C3C3C"/>
        </w:rPr>
        <w:t xml:space="preserve"> by DFAT and the Steering Committee (e.g. to review and approve annual NGO plans, to determine whether particular activities are continued in each country if results are not being achieved)</w:t>
      </w:r>
    </w:p>
    <w:p w14:paraId="300DDD84" w14:textId="2698D2D8" w:rsidR="006734E5" w:rsidRPr="00394C86" w:rsidRDefault="006734E5" w:rsidP="000603A0">
      <w:pPr>
        <w:numPr>
          <w:ilvl w:val="0"/>
          <w:numId w:val="18"/>
        </w:numPr>
        <w:spacing w:after="120"/>
        <w:contextualSpacing/>
        <w:rPr>
          <w:rFonts w:eastAsia="Corbel"/>
          <w:color w:val="3C3C3C"/>
        </w:rPr>
      </w:pPr>
      <w:r w:rsidRPr="00392774">
        <w:rPr>
          <w:rFonts w:eastAsia="Corbel"/>
          <w:b/>
          <w:color w:val="3C3C3C"/>
        </w:rPr>
        <w:t xml:space="preserve">Strategic communications </w:t>
      </w:r>
      <w:r w:rsidRPr="00392774">
        <w:rPr>
          <w:rFonts w:eastAsia="Corbel"/>
          <w:color w:val="3C3C3C"/>
        </w:rPr>
        <w:t>by the NGOs and DFAT</w:t>
      </w:r>
      <w:r w:rsidRPr="00392774">
        <w:rPr>
          <w:rFonts w:eastAsia="Corbel"/>
          <w:b/>
          <w:color w:val="3C3C3C"/>
        </w:rPr>
        <w:t xml:space="preserve"> </w:t>
      </w:r>
      <w:r w:rsidRPr="00392774">
        <w:rPr>
          <w:rFonts w:eastAsia="Corbel"/>
          <w:color w:val="3C3C3C"/>
        </w:rPr>
        <w:t>by</w:t>
      </w:r>
      <w:r w:rsidRPr="00392774">
        <w:rPr>
          <w:rFonts w:eastAsia="Corbel"/>
          <w:b/>
          <w:color w:val="3C3C3C"/>
        </w:rPr>
        <w:t xml:space="preserve"> </w:t>
      </w:r>
      <w:r w:rsidRPr="00392774">
        <w:rPr>
          <w:rFonts w:eastAsia="Corbel"/>
          <w:color w:val="3C3C3C"/>
        </w:rPr>
        <w:t>providing evidence to influence decision-makers to progress reform across the Pacific and in global forums</w:t>
      </w:r>
      <w:r w:rsidR="00575600" w:rsidRPr="00392774">
        <w:rPr>
          <w:rFonts w:eastAsia="Corbel"/>
          <w:color w:val="3C3C3C"/>
        </w:rPr>
        <w:t xml:space="preserve"> as well as </w:t>
      </w:r>
      <w:r w:rsidRPr="00392774">
        <w:rPr>
          <w:rFonts w:eastAsia="Corbel"/>
          <w:color w:val="3C3C3C"/>
        </w:rPr>
        <w:t>to support public diplomacy efforts</w:t>
      </w:r>
      <w:r w:rsidR="00921E6E" w:rsidRPr="00392774">
        <w:rPr>
          <w:rFonts w:eastAsia="Corbel"/>
          <w:color w:val="3C3C3C"/>
        </w:rPr>
        <w:br/>
      </w:r>
    </w:p>
    <w:p w14:paraId="1EF7D2AB" w14:textId="0457E474" w:rsidR="006734E5" w:rsidRPr="00392774" w:rsidRDefault="006734E5" w:rsidP="000B60BA">
      <w:pPr>
        <w:pStyle w:val="Heading2"/>
        <w:rPr>
          <w:rFonts w:ascii="Calibri" w:hAnsi="Calibri" w:cs="Calibri"/>
        </w:rPr>
      </w:pPr>
      <w:bookmarkStart w:id="34" w:name="_Toc499652280"/>
      <w:bookmarkStart w:id="35" w:name="_Toc501451676"/>
      <w:r w:rsidRPr="00392774">
        <w:rPr>
          <w:rFonts w:ascii="Calibri" w:hAnsi="Calibri" w:cs="Calibri"/>
        </w:rPr>
        <w:t>Principles Guiding the M&amp;E System</w:t>
      </w:r>
      <w:bookmarkEnd w:id="34"/>
      <w:bookmarkEnd w:id="35"/>
    </w:p>
    <w:p w14:paraId="2459A910" w14:textId="77777777" w:rsidR="006734E5" w:rsidRPr="00394C86" w:rsidRDefault="006734E5" w:rsidP="006734E5">
      <w:pPr>
        <w:spacing w:after="60"/>
        <w:rPr>
          <w:rFonts w:eastAsia="SimSun"/>
          <w:color w:val="3C3C3C"/>
        </w:rPr>
      </w:pPr>
      <w:r w:rsidRPr="00394C86">
        <w:rPr>
          <w:rFonts w:eastAsia="SimSun"/>
          <w:color w:val="3C3C3C"/>
        </w:rPr>
        <w:t xml:space="preserve">A number of principles will guide the implementation of the M&amp;E system. These include the commitment to: </w:t>
      </w:r>
    </w:p>
    <w:p w14:paraId="1EB79478" w14:textId="1543544A" w:rsidR="006734E5" w:rsidRPr="00394C86" w:rsidRDefault="003634B6" w:rsidP="006734E5">
      <w:pPr>
        <w:widowControl w:val="0"/>
        <w:numPr>
          <w:ilvl w:val="0"/>
          <w:numId w:val="20"/>
        </w:numPr>
        <w:spacing w:before="60" w:after="60" w:line="240" w:lineRule="auto"/>
        <w:ind w:left="714" w:hanging="357"/>
        <w:rPr>
          <w:rFonts w:eastAsia="SimSun"/>
          <w:color w:val="3C3C3C"/>
        </w:rPr>
      </w:pPr>
      <w:r w:rsidRPr="00394C86">
        <w:rPr>
          <w:rFonts w:eastAsia="SimSun"/>
          <w:color w:val="3C3C3C"/>
        </w:rPr>
        <w:t>h</w:t>
      </w:r>
      <w:r w:rsidR="006734E5" w:rsidRPr="00394C86">
        <w:rPr>
          <w:rFonts w:eastAsia="SimSun"/>
          <w:color w:val="3C3C3C"/>
        </w:rPr>
        <w:t>av</w:t>
      </w:r>
      <w:r w:rsidRPr="00394C86">
        <w:rPr>
          <w:rFonts w:eastAsia="SimSun"/>
          <w:color w:val="3C3C3C"/>
        </w:rPr>
        <w:t>ing</w:t>
      </w:r>
      <w:r w:rsidR="006734E5" w:rsidRPr="00394C86">
        <w:rPr>
          <w:rFonts w:eastAsia="SimSun"/>
          <w:color w:val="3C3C3C"/>
        </w:rPr>
        <w:t xml:space="preserve"> a primary focus on supporting the use of the information collected;</w:t>
      </w:r>
    </w:p>
    <w:p w14:paraId="03C78847" w14:textId="53054571" w:rsidR="006734E5" w:rsidRPr="00394C86" w:rsidRDefault="003634B6" w:rsidP="006734E5">
      <w:pPr>
        <w:widowControl w:val="0"/>
        <w:numPr>
          <w:ilvl w:val="0"/>
          <w:numId w:val="20"/>
        </w:numPr>
        <w:spacing w:before="60" w:after="60" w:line="240" w:lineRule="auto"/>
        <w:ind w:left="714" w:hanging="357"/>
        <w:rPr>
          <w:rFonts w:eastAsia="SimSun"/>
          <w:color w:val="3C3C3C"/>
        </w:rPr>
      </w:pPr>
      <w:r w:rsidRPr="00394C86">
        <w:rPr>
          <w:rFonts w:eastAsia="SimSun"/>
          <w:color w:val="3C3C3C"/>
        </w:rPr>
        <w:t>b</w:t>
      </w:r>
      <w:r w:rsidR="006734E5" w:rsidRPr="00394C86">
        <w:rPr>
          <w:rFonts w:eastAsia="SimSun"/>
          <w:color w:val="3C3C3C"/>
        </w:rPr>
        <w:t>uild</w:t>
      </w:r>
      <w:r w:rsidRPr="00394C86">
        <w:rPr>
          <w:rFonts w:eastAsia="SimSun"/>
          <w:color w:val="3C3C3C"/>
        </w:rPr>
        <w:t>ing</w:t>
      </w:r>
      <w:r w:rsidR="006734E5" w:rsidRPr="00394C86">
        <w:rPr>
          <w:rFonts w:eastAsia="SimSun"/>
          <w:color w:val="3C3C3C"/>
        </w:rPr>
        <w:t xml:space="preserve"> on and strengthen</w:t>
      </w:r>
      <w:r w:rsidRPr="00394C86">
        <w:rPr>
          <w:rFonts w:eastAsia="SimSun"/>
          <w:color w:val="3C3C3C"/>
        </w:rPr>
        <w:t>ing</w:t>
      </w:r>
      <w:r w:rsidR="006734E5" w:rsidRPr="00394C86">
        <w:rPr>
          <w:rFonts w:eastAsia="SimSun"/>
          <w:color w:val="3C3C3C"/>
        </w:rPr>
        <w:t xml:space="preserve"> local M&amp;E capacity where possible;</w:t>
      </w:r>
    </w:p>
    <w:p w14:paraId="18C3C69D" w14:textId="0C45E07D" w:rsidR="006734E5" w:rsidRPr="00394C86" w:rsidRDefault="003634B6" w:rsidP="006734E5">
      <w:pPr>
        <w:widowControl w:val="0"/>
        <w:numPr>
          <w:ilvl w:val="0"/>
          <w:numId w:val="20"/>
        </w:numPr>
        <w:spacing w:before="60" w:after="60" w:line="240" w:lineRule="auto"/>
        <w:ind w:left="714" w:hanging="357"/>
        <w:rPr>
          <w:rFonts w:eastAsia="SimSun"/>
          <w:color w:val="3C3C3C"/>
        </w:rPr>
      </w:pPr>
      <w:r w:rsidRPr="00394C86">
        <w:rPr>
          <w:rFonts w:eastAsia="SimSun"/>
          <w:color w:val="3C3C3C"/>
        </w:rPr>
        <w:t>a</w:t>
      </w:r>
      <w:r w:rsidR="006734E5" w:rsidRPr="00394C86">
        <w:rPr>
          <w:rFonts w:eastAsia="SimSun"/>
          <w:color w:val="3C3C3C"/>
        </w:rPr>
        <w:t>ddress</w:t>
      </w:r>
      <w:r w:rsidRPr="00394C86">
        <w:rPr>
          <w:rFonts w:eastAsia="SimSun"/>
          <w:color w:val="3C3C3C"/>
        </w:rPr>
        <w:t>ing</w:t>
      </w:r>
      <w:r w:rsidR="006734E5" w:rsidRPr="00394C86">
        <w:rPr>
          <w:rFonts w:eastAsia="SimSun"/>
          <w:color w:val="3C3C3C"/>
        </w:rPr>
        <w:t xml:space="preserve"> gender, disability, youth and children and other inclusion variables in all M&amp;E activities;</w:t>
      </w:r>
    </w:p>
    <w:p w14:paraId="29A73F11" w14:textId="15D2D642" w:rsidR="006734E5" w:rsidRPr="00394C86" w:rsidRDefault="003634B6" w:rsidP="006734E5">
      <w:pPr>
        <w:widowControl w:val="0"/>
        <w:numPr>
          <w:ilvl w:val="0"/>
          <w:numId w:val="20"/>
        </w:numPr>
        <w:spacing w:before="60" w:after="60" w:line="240" w:lineRule="auto"/>
        <w:ind w:left="714" w:hanging="357"/>
        <w:rPr>
          <w:rFonts w:eastAsia="SimSun"/>
          <w:color w:val="3C3C3C"/>
        </w:rPr>
      </w:pPr>
      <w:r w:rsidRPr="00394C86">
        <w:rPr>
          <w:rFonts w:eastAsia="SimSun"/>
          <w:color w:val="3C3C3C"/>
        </w:rPr>
        <w:t>i</w:t>
      </w:r>
      <w:r w:rsidR="006734E5" w:rsidRPr="00394C86">
        <w:rPr>
          <w:rFonts w:eastAsia="SimSun"/>
          <w:color w:val="3C3C3C"/>
        </w:rPr>
        <w:t>nvolv</w:t>
      </w:r>
      <w:r w:rsidRPr="00394C86">
        <w:rPr>
          <w:rFonts w:eastAsia="SimSun"/>
          <w:color w:val="3C3C3C"/>
        </w:rPr>
        <w:t>ing</w:t>
      </w:r>
      <w:r w:rsidR="006734E5" w:rsidRPr="00394C86">
        <w:rPr>
          <w:rFonts w:eastAsia="SimSun"/>
          <w:color w:val="3C3C3C"/>
        </w:rPr>
        <w:t xml:space="preserve"> program personnel, participants and stakeholders in ‘sense-making’ so that there is ownership of data</w:t>
      </w:r>
      <w:r w:rsidRPr="00394C86">
        <w:rPr>
          <w:rFonts w:eastAsia="SimSun"/>
          <w:color w:val="3C3C3C"/>
        </w:rPr>
        <w:t xml:space="preserve"> </w:t>
      </w:r>
      <w:r w:rsidR="006734E5" w:rsidRPr="00394C86">
        <w:rPr>
          <w:rFonts w:eastAsia="SimSun"/>
          <w:color w:val="3C3C3C"/>
        </w:rPr>
        <w:t xml:space="preserve">and </w:t>
      </w:r>
      <w:r w:rsidRPr="00394C86">
        <w:rPr>
          <w:rFonts w:eastAsia="SimSun"/>
          <w:color w:val="3C3C3C"/>
        </w:rPr>
        <w:t xml:space="preserve">a </w:t>
      </w:r>
      <w:r w:rsidR="006734E5" w:rsidRPr="00394C86">
        <w:rPr>
          <w:rFonts w:eastAsia="SimSun"/>
          <w:color w:val="3C3C3C"/>
        </w:rPr>
        <w:t xml:space="preserve">greater likelihood </w:t>
      </w:r>
      <w:r w:rsidRPr="00394C86">
        <w:rPr>
          <w:rFonts w:eastAsia="SimSun"/>
          <w:color w:val="3C3C3C"/>
        </w:rPr>
        <w:t xml:space="preserve">that </w:t>
      </w:r>
      <w:r w:rsidR="006734E5" w:rsidRPr="00394C86">
        <w:rPr>
          <w:rFonts w:eastAsia="SimSun"/>
          <w:color w:val="3C3C3C"/>
        </w:rPr>
        <w:t xml:space="preserve">the data </w:t>
      </w:r>
      <w:r w:rsidRPr="00394C86">
        <w:rPr>
          <w:rFonts w:eastAsia="SimSun"/>
          <w:color w:val="3C3C3C"/>
        </w:rPr>
        <w:t>can</w:t>
      </w:r>
      <w:r w:rsidR="006734E5" w:rsidRPr="00394C86">
        <w:rPr>
          <w:rFonts w:eastAsia="SimSun"/>
          <w:color w:val="3C3C3C"/>
        </w:rPr>
        <w:t xml:space="preserve"> be used to influence change; </w:t>
      </w:r>
    </w:p>
    <w:p w14:paraId="102B3456" w14:textId="210B454D" w:rsidR="006734E5" w:rsidRPr="00394C86" w:rsidRDefault="003634B6" w:rsidP="006734E5">
      <w:pPr>
        <w:widowControl w:val="0"/>
        <w:numPr>
          <w:ilvl w:val="0"/>
          <w:numId w:val="20"/>
        </w:numPr>
        <w:spacing w:before="60" w:after="60" w:line="240" w:lineRule="auto"/>
        <w:ind w:left="714" w:hanging="357"/>
        <w:rPr>
          <w:rFonts w:eastAsia="SimSun"/>
          <w:color w:val="3C3C3C"/>
        </w:rPr>
      </w:pPr>
      <w:r w:rsidRPr="00394C86">
        <w:rPr>
          <w:rFonts w:eastAsia="SimSun"/>
          <w:color w:val="3C3C3C"/>
        </w:rPr>
        <w:t>v</w:t>
      </w:r>
      <w:r w:rsidR="006734E5" w:rsidRPr="00394C86">
        <w:rPr>
          <w:rFonts w:eastAsia="SimSun"/>
          <w:color w:val="3C3C3C"/>
        </w:rPr>
        <w:t>alu</w:t>
      </w:r>
      <w:r w:rsidRPr="00394C86">
        <w:rPr>
          <w:rFonts w:eastAsia="SimSun"/>
          <w:color w:val="3C3C3C"/>
        </w:rPr>
        <w:t xml:space="preserve">ing </w:t>
      </w:r>
      <w:r w:rsidR="006734E5" w:rsidRPr="00394C86">
        <w:rPr>
          <w:rFonts w:eastAsia="SimSun"/>
          <w:color w:val="3C3C3C"/>
        </w:rPr>
        <w:t>both qualitative and quantitative data and us</w:t>
      </w:r>
      <w:r w:rsidRPr="00394C86">
        <w:rPr>
          <w:rFonts w:eastAsia="SimSun"/>
          <w:color w:val="3C3C3C"/>
        </w:rPr>
        <w:t>ing</w:t>
      </w:r>
      <w:r w:rsidR="006734E5" w:rsidRPr="00394C86">
        <w:rPr>
          <w:rFonts w:eastAsia="SimSun"/>
          <w:color w:val="3C3C3C"/>
        </w:rPr>
        <w:t xml:space="preserve"> a variety of methods to capture the </w:t>
      </w:r>
      <w:r w:rsidR="006734E5" w:rsidRPr="00394C86">
        <w:rPr>
          <w:rFonts w:eastAsia="SimSun"/>
          <w:color w:val="3C3C3C"/>
        </w:rPr>
        <w:lastRenderedPageBreak/>
        <w:t xml:space="preserve">complexity of implementation and results; </w:t>
      </w:r>
    </w:p>
    <w:p w14:paraId="648393D1" w14:textId="486E65E7" w:rsidR="006734E5" w:rsidRPr="00394C86" w:rsidRDefault="003634B6" w:rsidP="006734E5">
      <w:pPr>
        <w:widowControl w:val="0"/>
        <w:numPr>
          <w:ilvl w:val="0"/>
          <w:numId w:val="20"/>
        </w:numPr>
        <w:spacing w:before="60" w:after="60" w:line="240" w:lineRule="auto"/>
        <w:ind w:left="714" w:hanging="357"/>
        <w:rPr>
          <w:rFonts w:eastAsia="SimSun"/>
          <w:color w:val="3C3C3C"/>
        </w:rPr>
      </w:pPr>
      <w:r w:rsidRPr="00394C86">
        <w:rPr>
          <w:rFonts w:eastAsia="SimSun"/>
          <w:color w:val="3C3C3C"/>
        </w:rPr>
        <w:t>s</w:t>
      </w:r>
      <w:r w:rsidR="006734E5" w:rsidRPr="00394C86">
        <w:rPr>
          <w:rFonts w:eastAsia="SimSun"/>
          <w:color w:val="3C3C3C"/>
        </w:rPr>
        <w:t>upport</w:t>
      </w:r>
      <w:r w:rsidRPr="00394C86">
        <w:rPr>
          <w:rFonts w:eastAsia="SimSun"/>
          <w:color w:val="3C3C3C"/>
        </w:rPr>
        <w:t>ing</w:t>
      </w:r>
      <w:r w:rsidR="006734E5" w:rsidRPr="00394C86">
        <w:rPr>
          <w:rFonts w:eastAsia="SimSun"/>
          <w:color w:val="3C3C3C"/>
        </w:rPr>
        <w:t xml:space="preserve"> the flow of information in multiple directions so that participants and management stakeholders receive feedback about the program; </w:t>
      </w:r>
    </w:p>
    <w:p w14:paraId="26CAAB31" w14:textId="0E79F215" w:rsidR="006734E5" w:rsidRPr="00394C86" w:rsidRDefault="003634B6" w:rsidP="006734E5">
      <w:pPr>
        <w:widowControl w:val="0"/>
        <w:numPr>
          <w:ilvl w:val="0"/>
          <w:numId w:val="20"/>
        </w:numPr>
        <w:spacing w:before="60" w:after="60" w:line="240" w:lineRule="auto"/>
        <w:ind w:left="714" w:hanging="357"/>
        <w:rPr>
          <w:rFonts w:eastAsia="SimSun"/>
          <w:color w:val="3C3C3C"/>
        </w:rPr>
      </w:pPr>
      <w:r w:rsidRPr="00394C86">
        <w:rPr>
          <w:rFonts w:eastAsia="SimSun"/>
          <w:color w:val="3C3C3C"/>
        </w:rPr>
        <w:t>c</w:t>
      </w:r>
      <w:r w:rsidR="006734E5" w:rsidRPr="00394C86">
        <w:rPr>
          <w:rFonts w:eastAsia="SimSun"/>
          <w:color w:val="3C3C3C"/>
        </w:rPr>
        <w:t>ompl</w:t>
      </w:r>
      <w:r w:rsidRPr="00394C86">
        <w:rPr>
          <w:rFonts w:eastAsia="SimSun"/>
          <w:color w:val="3C3C3C"/>
        </w:rPr>
        <w:t>ying</w:t>
      </w:r>
      <w:r w:rsidR="006734E5" w:rsidRPr="00394C86">
        <w:rPr>
          <w:rFonts w:eastAsia="SimSun"/>
          <w:color w:val="3C3C3C"/>
        </w:rPr>
        <w:t xml:space="preserve"> with the Core Humanitarian Standard on Quality and Accountability</w:t>
      </w:r>
      <w:r w:rsidR="006734E5" w:rsidRPr="00394C86">
        <w:rPr>
          <w:rStyle w:val="FootnoteReference"/>
          <w:rFonts w:eastAsia="SimSun"/>
          <w:color w:val="3C3C3C"/>
        </w:rPr>
        <w:footnoteReference w:id="45"/>
      </w:r>
      <w:r w:rsidR="006734E5" w:rsidRPr="00394C86">
        <w:rPr>
          <w:rFonts w:eastAsia="SimSun"/>
          <w:color w:val="3C3C3C"/>
        </w:rPr>
        <w:t xml:space="preserve"> and other international standards for ethics, evaluation methods</w:t>
      </w:r>
      <w:r w:rsidR="00575600" w:rsidRPr="00394C86">
        <w:rPr>
          <w:rFonts w:eastAsia="SimSun"/>
          <w:color w:val="3C3C3C"/>
        </w:rPr>
        <w:t>,</w:t>
      </w:r>
      <w:r w:rsidR="006734E5" w:rsidRPr="00394C86">
        <w:rPr>
          <w:rFonts w:eastAsia="SimSun"/>
          <w:color w:val="3C3C3C"/>
        </w:rPr>
        <w:t xml:space="preserve"> and results measurement</w:t>
      </w:r>
      <w:r w:rsidRPr="00394C86">
        <w:rPr>
          <w:rFonts w:eastAsia="SimSun"/>
          <w:color w:val="3C3C3C"/>
        </w:rPr>
        <w:t>,</w:t>
      </w:r>
      <w:r w:rsidR="006734E5" w:rsidRPr="00394C86">
        <w:rPr>
          <w:rFonts w:eastAsia="SimSun"/>
          <w:color w:val="3C3C3C"/>
        </w:rPr>
        <w:t xml:space="preserve"> including the DFAT Monitoring and Evaluation Standards (2017)</w:t>
      </w:r>
      <w:r w:rsidR="006734E5" w:rsidRPr="00394C86">
        <w:rPr>
          <w:rFonts w:eastAsia="SimSun"/>
          <w:color w:val="3C3C3C"/>
          <w:vertAlign w:val="superscript"/>
        </w:rPr>
        <w:footnoteReference w:id="46"/>
      </w:r>
      <w:r w:rsidRPr="00394C86">
        <w:rPr>
          <w:rFonts w:eastAsia="SimSun"/>
          <w:color w:val="3C3C3C"/>
        </w:rPr>
        <w:t>; and</w:t>
      </w:r>
    </w:p>
    <w:p w14:paraId="481650B7" w14:textId="407428D3" w:rsidR="006734E5" w:rsidRPr="00394C86" w:rsidRDefault="003634B6" w:rsidP="006734E5">
      <w:pPr>
        <w:widowControl w:val="0"/>
        <w:numPr>
          <w:ilvl w:val="0"/>
          <w:numId w:val="20"/>
        </w:numPr>
        <w:spacing w:before="60" w:after="60" w:line="240" w:lineRule="auto"/>
        <w:ind w:left="714" w:hanging="357"/>
        <w:rPr>
          <w:rFonts w:eastAsia="SimSun"/>
          <w:color w:val="3C3C3C"/>
        </w:rPr>
      </w:pPr>
      <w:r w:rsidRPr="00394C86">
        <w:rPr>
          <w:rFonts w:eastAsia="SimSun"/>
          <w:color w:val="3C3C3C"/>
        </w:rPr>
        <w:t>e</w:t>
      </w:r>
      <w:r w:rsidR="006734E5" w:rsidRPr="00394C86">
        <w:rPr>
          <w:rFonts w:eastAsia="SimSun"/>
          <w:color w:val="3C3C3C"/>
        </w:rPr>
        <w:t>nsur</w:t>
      </w:r>
      <w:r w:rsidRPr="00394C86">
        <w:rPr>
          <w:rFonts w:eastAsia="SimSun"/>
          <w:color w:val="3C3C3C"/>
        </w:rPr>
        <w:t>ing</w:t>
      </w:r>
      <w:r w:rsidR="006734E5" w:rsidRPr="00394C86">
        <w:rPr>
          <w:rFonts w:eastAsia="SimSun"/>
          <w:color w:val="3C3C3C"/>
        </w:rPr>
        <w:t xml:space="preserve"> that the complexity and scale of the M&amp;E is in line with the level of financial and human resources available to implement the M&amp;E system.</w:t>
      </w:r>
    </w:p>
    <w:p w14:paraId="1B235520" w14:textId="77777777" w:rsidR="006734E5" w:rsidRPr="00394C86" w:rsidRDefault="006734E5" w:rsidP="006734E5">
      <w:pPr>
        <w:widowControl w:val="0"/>
        <w:spacing w:before="60" w:after="60" w:line="240" w:lineRule="auto"/>
        <w:ind w:left="714"/>
        <w:rPr>
          <w:rFonts w:eastAsia="SimSun"/>
          <w:color w:val="3C3C3C"/>
        </w:rPr>
      </w:pPr>
    </w:p>
    <w:p w14:paraId="35855B88" w14:textId="1C0DB7B2" w:rsidR="006734E5" w:rsidRPr="00392774" w:rsidRDefault="006734E5" w:rsidP="000B60BA">
      <w:pPr>
        <w:pStyle w:val="Heading2"/>
        <w:rPr>
          <w:rFonts w:ascii="Calibri" w:hAnsi="Calibri" w:cs="Calibri"/>
        </w:rPr>
      </w:pPr>
      <w:bookmarkStart w:id="36" w:name="_Toc499652281"/>
      <w:bookmarkStart w:id="37" w:name="_Toc501451677"/>
      <w:r w:rsidRPr="00392774">
        <w:rPr>
          <w:rFonts w:ascii="Calibri" w:hAnsi="Calibri" w:cs="Calibri"/>
        </w:rPr>
        <w:t>Overarching Evaluation Questions</w:t>
      </w:r>
      <w:bookmarkEnd w:id="36"/>
      <w:bookmarkEnd w:id="37"/>
    </w:p>
    <w:p w14:paraId="421EF7F5" w14:textId="34021A16" w:rsidR="006734E5" w:rsidRPr="00394C86" w:rsidRDefault="006734E5" w:rsidP="006734E5">
      <w:pPr>
        <w:rPr>
          <w:rFonts w:eastAsia="SimSun"/>
          <w:color w:val="3C3C3C"/>
        </w:rPr>
      </w:pPr>
      <w:r w:rsidRPr="00394C86">
        <w:rPr>
          <w:rFonts w:eastAsia="SimSun"/>
          <w:color w:val="3C3C3C"/>
        </w:rPr>
        <w:t xml:space="preserve">The following high-level evaluation questions guide the M&amp;E system (see </w:t>
      </w:r>
      <w:r w:rsidRPr="00A048D6">
        <w:rPr>
          <w:rFonts w:eastAsia="SimSun"/>
          <w:color w:val="3C3C3C"/>
        </w:rPr>
        <w:fldChar w:fldCharType="begin"/>
      </w:r>
      <w:r w:rsidRPr="00394C86">
        <w:rPr>
          <w:rFonts w:eastAsia="SimSun"/>
          <w:color w:val="3C3C3C"/>
        </w:rPr>
        <w:instrText xml:space="preserve"> REF _Ref501095877 \h </w:instrText>
      </w:r>
      <w:r w:rsidR="00394C86">
        <w:rPr>
          <w:rFonts w:eastAsia="SimSun"/>
          <w:color w:val="3C3C3C"/>
        </w:rPr>
        <w:instrText xml:space="preserve"> \* MERGEFORMAT </w:instrText>
      </w:r>
      <w:r w:rsidRPr="00A048D6">
        <w:rPr>
          <w:rFonts w:eastAsia="SimSun"/>
          <w:color w:val="3C3C3C"/>
        </w:rPr>
      </w:r>
      <w:r w:rsidRPr="00A048D6">
        <w:rPr>
          <w:rFonts w:eastAsia="SimSun"/>
          <w:color w:val="3C3C3C"/>
        </w:rPr>
        <w:fldChar w:fldCharType="separate"/>
      </w:r>
      <w:r w:rsidR="00797A9B" w:rsidRPr="00394C86">
        <w:t xml:space="preserve">Table </w:t>
      </w:r>
      <w:r w:rsidR="00797A9B">
        <w:rPr>
          <w:noProof/>
        </w:rPr>
        <w:t>2</w:t>
      </w:r>
      <w:r w:rsidRPr="00A048D6">
        <w:rPr>
          <w:rFonts w:eastAsia="SimSun"/>
          <w:color w:val="3C3C3C"/>
        </w:rPr>
        <w:fldChar w:fldCharType="end"/>
      </w:r>
      <w:r w:rsidRPr="00394C86">
        <w:rPr>
          <w:rFonts w:eastAsia="SimSun"/>
          <w:color w:val="3C3C3C"/>
        </w:rPr>
        <w:t>). These are aligned to the quality criteria in the Core Humanitarian Standard on Quality and Accountability</w:t>
      </w:r>
      <w:r w:rsidR="00575600" w:rsidRPr="00394C86">
        <w:rPr>
          <w:rFonts w:eastAsia="SimSun"/>
          <w:color w:val="3C3C3C"/>
        </w:rPr>
        <w:t xml:space="preserve"> (CHS)</w:t>
      </w:r>
      <w:r w:rsidRPr="00394C86">
        <w:rPr>
          <w:rFonts w:eastAsia="SimSun"/>
          <w:color w:val="3C3C3C"/>
        </w:rPr>
        <w:t xml:space="preserve">, </w:t>
      </w:r>
      <w:r w:rsidR="00575600" w:rsidRPr="00394C86">
        <w:rPr>
          <w:rFonts w:eastAsia="SimSun"/>
          <w:color w:val="3C3C3C"/>
        </w:rPr>
        <w:t xml:space="preserve">the </w:t>
      </w:r>
      <w:r w:rsidRPr="00394C86">
        <w:rPr>
          <w:rFonts w:eastAsia="SimSun"/>
          <w:color w:val="3C3C3C"/>
        </w:rPr>
        <w:t xml:space="preserve">OECD </w:t>
      </w:r>
      <w:r w:rsidR="00575600" w:rsidRPr="00394C86">
        <w:rPr>
          <w:rFonts w:eastAsia="SimSun"/>
          <w:color w:val="3C3C3C"/>
        </w:rPr>
        <w:t>Development Assistance Committee (</w:t>
      </w:r>
      <w:r w:rsidRPr="00394C86">
        <w:rPr>
          <w:rFonts w:eastAsia="SimSun"/>
          <w:color w:val="3C3C3C"/>
        </w:rPr>
        <w:t>DAC</w:t>
      </w:r>
      <w:r w:rsidR="00575600" w:rsidRPr="00394C86">
        <w:rPr>
          <w:rFonts w:eastAsia="SimSun"/>
          <w:color w:val="3C3C3C"/>
        </w:rPr>
        <w:t>)</w:t>
      </w:r>
      <w:r w:rsidRPr="00394C86">
        <w:rPr>
          <w:rFonts w:eastAsia="SimSun"/>
          <w:color w:val="3C3C3C"/>
        </w:rPr>
        <w:t xml:space="preserve"> criteria, and DFAT’s Aid Quality Check (AQC) report. The alignment between the CHS quality criteria and the sub-questions is included in the footnote</w:t>
      </w:r>
      <w:r w:rsidRPr="00394C86">
        <w:rPr>
          <w:rFonts w:eastAsia="SimSun"/>
          <w:color w:val="3C3C3C"/>
          <w:vertAlign w:val="superscript"/>
        </w:rPr>
        <w:footnoteReference w:id="47"/>
      </w:r>
      <w:r w:rsidRPr="00394C86">
        <w:rPr>
          <w:rFonts w:eastAsia="SimSun"/>
          <w:color w:val="3C3C3C"/>
        </w:rPr>
        <w:t>.</w:t>
      </w:r>
      <w:r w:rsidR="00921E6E">
        <w:rPr>
          <w:rFonts w:eastAsia="SimSun"/>
          <w:color w:val="3C3C3C"/>
        </w:rPr>
        <w:br/>
      </w:r>
      <w:r w:rsidR="00921E6E">
        <w:rPr>
          <w:rFonts w:eastAsia="SimSun"/>
          <w:color w:val="3C3C3C"/>
        </w:rPr>
        <w:br/>
      </w:r>
      <w:r w:rsidRPr="00394C86">
        <w:rPr>
          <w:rFonts w:eastAsia="SimSun"/>
          <w:color w:val="3C3C3C"/>
        </w:rPr>
        <w:t xml:space="preserve">The evaluation questions provide the framework for the NGOs’ annual review and reporting, the annual review by </w:t>
      </w:r>
      <w:r w:rsidR="003634B6" w:rsidRPr="00394C86">
        <w:rPr>
          <w:rFonts w:eastAsia="SimSun"/>
          <w:color w:val="3C3C3C"/>
        </w:rPr>
        <w:t>C</w:t>
      </w:r>
      <w:r w:rsidRPr="00394C86">
        <w:rPr>
          <w:rFonts w:eastAsia="SimSun"/>
          <w:color w:val="3C3C3C"/>
        </w:rPr>
        <w:t xml:space="preserve">ountry </w:t>
      </w:r>
      <w:r w:rsidR="003634B6" w:rsidRPr="00394C86">
        <w:rPr>
          <w:rFonts w:eastAsia="SimSun"/>
          <w:color w:val="3C3C3C"/>
        </w:rPr>
        <w:t>C</w:t>
      </w:r>
      <w:r w:rsidRPr="00394C86">
        <w:rPr>
          <w:rFonts w:eastAsia="SimSun"/>
          <w:color w:val="3C3C3C"/>
        </w:rPr>
        <w:t xml:space="preserve">ommittees, and an independent evaluation in </w:t>
      </w:r>
      <w:r w:rsidR="00106244" w:rsidRPr="00394C86">
        <w:rPr>
          <w:rFonts w:eastAsia="SimSun"/>
          <w:color w:val="3C3C3C"/>
        </w:rPr>
        <w:t>Year 4</w:t>
      </w:r>
      <w:r w:rsidRPr="00394C86">
        <w:rPr>
          <w:rFonts w:eastAsia="SimSun"/>
          <w:color w:val="3C3C3C"/>
        </w:rPr>
        <w:t xml:space="preserve">. An annual small-scale evaluation will also provide data to inform the assessment against the evaluation questions relating to effectiveness and inclusion. The </w:t>
      </w:r>
      <w:proofErr w:type="gramStart"/>
      <w:r w:rsidRPr="00394C86">
        <w:rPr>
          <w:rFonts w:eastAsia="SimSun"/>
          <w:color w:val="3C3C3C"/>
        </w:rPr>
        <w:t>particular methods</w:t>
      </w:r>
      <w:proofErr w:type="gramEnd"/>
      <w:r w:rsidRPr="00394C86">
        <w:rPr>
          <w:rFonts w:eastAsia="SimSun"/>
          <w:color w:val="3C3C3C"/>
        </w:rPr>
        <w:t xml:space="preserve"> that will provide information for each of the sub-questions are outlined in </w:t>
      </w:r>
      <w:r w:rsidRPr="00A048D6">
        <w:rPr>
          <w:rFonts w:eastAsia="SimSun"/>
          <w:color w:val="3C3C3C"/>
        </w:rPr>
        <w:fldChar w:fldCharType="begin"/>
      </w:r>
      <w:r w:rsidRPr="00394C86">
        <w:rPr>
          <w:rFonts w:eastAsia="SimSun"/>
          <w:color w:val="3C3C3C"/>
        </w:rPr>
        <w:instrText xml:space="preserve"> REF _Ref501096844 \h </w:instrText>
      </w:r>
      <w:r w:rsidR="00394C86">
        <w:rPr>
          <w:rFonts w:eastAsia="SimSun"/>
          <w:color w:val="3C3C3C"/>
        </w:rPr>
        <w:instrText xml:space="preserve"> \* MERGEFORMAT </w:instrText>
      </w:r>
      <w:r w:rsidRPr="00A048D6">
        <w:rPr>
          <w:rFonts w:eastAsia="SimSun"/>
          <w:color w:val="3C3C3C"/>
        </w:rPr>
      </w:r>
      <w:r w:rsidRPr="00A048D6">
        <w:rPr>
          <w:rFonts w:eastAsia="SimSun"/>
          <w:color w:val="3C3C3C"/>
        </w:rPr>
        <w:fldChar w:fldCharType="separate"/>
      </w:r>
      <w:r w:rsidR="00797A9B" w:rsidRPr="00394C86">
        <w:t xml:space="preserve">Table </w:t>
      </w:r>
      <w:r w:rsidR="00797A9B">
        <w:rPr>
          <w:noProof/>
        </w:rPr>
        <w:t>4</w:t>
      </w:r>
      <w:r w:rsidRPr="00A048D6">
        <w:rPr>
          <w:rFonts w:eastAsia="SimSun"/>
          <w:color w:val="3C3C3C"/>
        </w:rPr>
        <w:fldChar w:fldCharType="end"/>
      </w:r>
      <w:r w:rsidRPr="00394C86">
        <w:rPr>
          <w:rFonts w:eastAsia="SimSun"/>
          <w:color w:val="3C3C3C"/>
        </w:rPr>
        <w:t xml:space="preserve"> and described in the text below.</w:t>
      </w:r>
      <w:r w:rsidR="00921E6E">
        <w:rPr>
          <w:rFonts w:eastAsia="SimSun"/>
          <w:color w:val="3C3C3C"/>
        </w:rPr>
        <w:br/>
      </w:r>
    </w:p>
    <w:p w14:paraId="391B4FBD" w14:textId="6570089B" w:rsidR="006734E5" w:rsidRPr="00394C86" w:rsidRDefault="006734E5" w:rsidP="006734E5">
      <w:pPr>
        <w:pStyle w:val="Caption"/>
        <w:keepNext/>
      </w:pPr>
      <w:bookmarkStart w:id="38" w:name="_Ref501095877"/>
      <w:r w:rsidRPr="00394C86">
        <w:t xml:space="preserve">Table </w:t>
      </w:r>
      <w:r w:rsidR="0014450E" w:rsidRPr="00A048D6">
        <w:fldChar w:fldCharType="begin"/>
      </w:r>
      <w:r w:rsidR="0014450E" w:rsidRPr="00394C86">
        <w:instrText xml:space="preserve"> SEQ Table \* ARABIC </w:instrText>
      </w:r>
      <w:r w:rsidR="0014450E" w:rsidRPr="00A048D6">
        <w:fldChar w:fldCharType="separate"/>
      </w:r>
      <w:r w:rsidR="00797A9B">
        <w:rPr>
          <w:noProof/>
        </w:rPr>
        <w:t>2</w:t>
      </w:r>
      <w:r w:rsidR="0014450E" w:rsidRPr="00A048D6">
        <w:rPr>
          <w:noProof/>
        </w:rPr>
        <w:fldChar w:fldCharType="end"/>
      </w:r>
      <w:bookmarkEnd w:id="38"/>
      <w:r w:rsidRPr="00394C86">
        <w:t xml:space="preserve"> Evaluation Questions for Disaster READY</w:t>
      </w:r>
    </w:p>
    <w:tbl>
      <w:tblPr>
        <w:tblStyle w:val="TableGrid2"/>
        <w:tblW w:w="9464" w:type="dxa"/>
        <w:tblLook w:val="04A0" w:firstRow="1" w:lastRow="0" w:firstColumn="1" w:lastColumn="0" w:noHBand="0" w:noVBand="1"/>
      </w:tblPr>
      <w:tblGrid>
        <w:gridCol w:w="2515"/>
        <w:gridCol w:w="6949"/>
      </w:tblGrid>
      <w:tr w:rsidR="007363D0" w:rsidRPr="00B96967" w14:paraId="157EC15E" w14:textId="77777777" w:rsidTr="00392774">
        <w:tc>
          <w:tcPr>
            <w:tcW w:w="2515" w:type="dxa"/>
            <w:shd w:val="clear" w:color="auto" w:fill="F2F2F2"/>
          </w:tcPr>
          <w:p w14:paraId="67CEE86A" w14:textId="77777777" w:rsidR="006734E5" w:rsidRPr="00B96967" w:rsidRDefault="006734E5" w:rsidP="00D97771">
            <w:pPr>
              <w:rPr>
                <w:b/>
                <w:color w:val="3C3C3C" w:themeColor="background2" w:themeShade="40"/>
                <w:sz w:val="20"/>
                <w:szCs w:val="22"/>
              </w:rPr>
            </w:pPr>
            <w:r w:rsidRPr="00B96967">
              <w:rPr>
                <w:b/>
                <w:color w:val="3C3C3C" w:themeColor="background2" w:themeShade="40"/>
                <w:sz w:val="20"/>
                <w:szCs w:val="22"/>
              </w:rPr>
              <w:t>Evaluation Question</w:t>
            </w:r>
          </w:p>
        </w:tc>
        <w:tc>
          <w:tcPr>
            <w:tcW w:w="6949" w:type="dxa"/>
            <w:shd w:val="clear" w:color="auto" w:fill="F2F2F2"/>
          </w:tcPr>
          <w:p w14:paraId="07B713C9" w14:textId="77777777" w:rsidR="006734E5" w:rsidRPr="00B96967" w:rsidRDefault="006734E5" w:rsidP="00D97771">
            <w:pPr>
              <w:rPr>
                <w:b/>
                <w:color w:val="3C3C3C" w:themeColor="background2" w:themeShade="40"/>
                <w:sz w:val="20"/>
                <w:szCs w:val="22"/>
              </w:rPr>
            </w:pPr>
            <w:r w:rsidRPr="00B96967">
              <w:rPr>
                <w:b/>
                <w:color w:val="3C3C3C" w:themeColor="background2" w:themeShade="40"/>
                <w:sz w:val="20"/>
                <w:szCs w:val="22"/>
              </w:rPr>
              <w:t>Evaluation sub-questions</w:t>
            </w:r>
          </w:p>
        </w:tc>
      </w:tr>
      <w:tr w:rsidR="007363D0" w:rsidRPr="00B96967" w14:paraId="60E9631B" w14:textId="77777777" w:rsidTr="00D97771">
        <w:tc>
          <w:tcPr>
            <w:tcW w:w="9464" w:type="dxa"/>
            <w:gridSpan w:val="2"/>
            <w:shd w:val="clear" w:color="auto" w:fill="D9D9D9"/>
          </w:tcPr>
          <w:p w14:paraId="3ACCE13B" w14:textId="77777777" w:rsidR="006734E5" w:rsidRPr="00B96967" w:rsidRDefault="006734E5" w:rsidP="00D97771">
            <w:pPr>
              <w:rPr>
                <w:color w:val="3C3C3C" w:themeColor="background2" w:themeShade="40"/>
                <w:sz w:val="20"/>
                <w:szCs w:val="22"/>
              </w:rPr>
            </w:pPr>
            <w:r w:rsidRPr="00B96967">
              <w:rPr>
                <w:color w:val="3C3C3C" w:themeColor="background2" w:themeShade="40"/>
                <w:sz w:val="20"/>
                <w:szCs w:val="22"/>
              </w:rPr>
              <w:t>EFFECTIVENESS</w:t>
            </w:r>
          </w:p>
        </w:tc>
      </w:tr>
      <w:tr w:rsidR="007363D0" w:rsidRPr="00B96967" w14:paraId="592A64C1" w14:textId="77777777" w:rsidTr="00392774">
        <w:trPr>
          <w:trHeight w:val="998"/>
        </w:trPr>
        <w:tc>
          <w:tcPr>
            <w:tcW w:w="2515" w:type="dxa"/>
          </w:tcPr>
          <w:p w14:paraId="748BF85E" w14:textId="77777777" w:rsidR="006734E5" w:rsidRPr="00B96967" w:rsidDel="00DE144E" w:rsidRDefault="006734E5" w:rsidP="006734E5">
            <w:pPr>
              <w:numPr>
                <w:ilvl w:val="0"/>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Are we achieving the outcomes we expected at this point in time?</w:t>
            </w:r>
          </w:p>
        </w:tc>
        <w:tc>
          <w:tcPr>
            <w:tcW w:w="6949" w:type="dxa"/>
            <w:shd w:val="clear" w:color="auto" w:fill="auto"/>
          </w:tcPr>
          <w:p w14:paraId="3281A868" w14:textId="77777777"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To what extent has local humanitarian capability in the Pacific and Timor-Leste been strengthened so that communities are better able to manage and respond to rapid</w:t>
            </w:r>
            <w:r w:rsidR="001B44A2" w:rsidRPr="00B96967">
              <w:rPr>
                <w:rFonts w:eastAsia="Corbel"/>
                <w:color w:val="3C3C3C" w:themeColor="background2" w:themeShade="40"/>
                <w:sz w:val="20"/>
                <w:szCs w:val="22"/>
              </w:rPr>
              <w:t>-</w:t>
            </w:r>
            <w:r w:rsidRPr="00B96967">
              <w:rPr>
                <w:rFonts w:eastAsia="Corbel"/>
                <w:color w:val="3C3C3C" w:themeColor="background2" w:themeShade="40"/>
                <w:sz w:val="20"/>
                <w:szCs w:val="22"/>
              </w:rPr>
              <w:t xml:space="preserve"> and </w:t>
            </w:r>
            <w:r w:rsidR="003568A1" w:rsidRPr="00B96967">
              <w:rPr>
                <w:rFonts w:eastAsia="Corbel"/>
                <w:color w:val="3C3C3C" w:themeColor="background2" w:themeShade="40"/>
                <w:sz w:val="20"/>
                <w:szCs w:val="22"/>
              </w:rPr>
              <w:t>slow-onset</w:t>
            </w:r>
            <w:r w:rsidRPr="00B96967">
              <w:rPr>
                <w:rFonts w:eastAsia="Corbel"/>
                <w:color w:val="3C3C3C" w:themeColor="background2" w:themeShade="40"/>
                <w:sz w:val="20"/>
                <w:szCs w:val="22"/>
              </w:rPr>
              <w:t xml:space="preserve"> disasters? (E.g. what progress has been made towards the program objectives and outcomes?)</w:t>
            </w:r>
          </w:p>
          <w:p w14:paraId="38C42E20" w14:textId="73970A69" w:rsidR="00392774" w:rsidRPr="00B96967" w:rsidRDefault="00392774" w:rsidP="00392774">
            <w:pPr>
              <w:ind w:left="432"/>
              <w:contextualSpacing/>
              <w:rPr>
                <w:rFonts w:eastAsia="Corbel"/>
                <w:color w:val="3C3C3C" w:themeColor="background2" w:themeShade="40"/>
                <w:sz w:val="20"/>
                <w:szCs w:val="22"/>
              </w:rPr>
            </w:pPr>
          </w:p>
        </w:tc>
      </w:tr>
      <w:tr w:rsidR="007363D0" w:rsidRPr="00B96967" w14:paraId="188182C1" w14:textId="77777777" w:rsidTr="00D97771">
        <w:tc>
          <w:tcPr>
            <w:tcW w:w="9464" w:type="dxa"/>
            <w:gridSpan w:val="2"/>
            <w:shd w:val="clear" w:color="auto" w:fill="D9D9D9"/>
          </w:tcPr>
          <w:p w14:paraId="4A6825DE" w14:textId="77777777" w:rsidR="006734E5" w:rsidRPr="00B96967" w:rsidRDefault="006734E5" w:rsidP="00D97771">
            <w:pPr>
              <w:rPr>
                <w:color w:val="3C3C3C" w:themeColor="background2" w:themeShade="40"/>
                <w:sz w:val="20"/>
                <w:szCs w:val="22"/>
              </w:rPr>
            </w:pPr>
            <w:r w:rsidRPr="00B96967">
              <w:rPr>
                <w:color w:val="3C3C3C" w:themeColor="background2" w:themeShade="40"/>
                <w:sz w:val="20"/>
                <w:szCs w:val="22"/>
              </w:rPr>
              <w:t>INCLUSION</w:t>
            </w:r>
          </w:p>
        </w:tc>
      </w:tr>
      <w:tr w:rsidR="007363D0" w:rsidRPr="00B96967" w14:paraId="37CEBB07" w14:textId="77777777" w:rsidTr="00392774">
        <w:trPr>
          <w:trHeight w:val="728"/>
        </w:trPr>
        <w:tc>
          <w:tcPr>
            <w:tcW w:w="2515" w:type="dxa"/>
          </w:tcPr>
          <w:p w14:paraId="3B81D611" w14:textId="77777777" w:rsidR="006734E5" w:rsidRPr="00B96967" w:rsidRDefault="006734E5" w:rsidP="006734E5">
            <w:pPr>
              <w:numPr>
                <w:ilvl w:val="0"/>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Have Disaster READY processes and outcomes been inclusive?</w:t>
            </w:r>
            <w:r w:rsidRPr="00B96967">
              <w:rPr>
                <w:rFonts w:eastAsia="Corbel"/>
                <w:color w:val="3C3C3C" w:themeColor="background2" w:themeShade="40"/>
                <w:sz w:val="20"/>
                <w:szCs w:val="22"/>
                <w:vertAlign w:val="superscript"/>
              </w:rPr>
              <w:footnoteReference w:id="48"/>
            </w:r>
          </w:p>
        </w:tc>
        <w:tc>
          <w:tcPr>
            <w:tcW w:w="6949" w:type="dxa"/>
          </w:tcPr>
          <w:p w14:paraId="7EFE2D9A" w14:textId="7FB961ED"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 xml:space="preserve">How equitable has the participation of women and people with disabilities been in program activities (e.g. in the </w:t>
            </w:r>
            <w:r w:rsidR="001B44A2" w:rsidRPr="00B96967">
              <w:rPr>
                <w:rFonts w:eastAsia="Corbel"/>
                <w:color w:val="3C3C3C" w:themeColor="background2" w:themeShade="40"/>
                <w:sz w:val="20"/>
                <w:szCs w:val="22"/>
              </w:rPr>
              <w:t>C</w:t>
            </w:r>
            <w:r w:rsidRPr="00B96967">
              <w:rPr>
                <w:rFonts w:eastAsia="Corbel"/>
                <w:color w:val="3C3C3C" w:themeColor="background2" w:themeShade="40"/>
                <w:sz w:val="20"/>
                <w:szCs w:val="22"/>
              </w:rPr>
              <w:t xml:space="preserve">ountry </w:t>
            </w:r>
            <w:r w:rsidR="001B44A2" w:rsidRPr="00B96967">
              <w:rPr>
                <w:rFonts w:eastAsia="Corbel"/>
                <w:color w:val="3C3C3C" w:themeColor="background2" w:themeShade="40"/>
                <w:sz w:val="20"/>
                <w:szCs w:val="22"/>
              </w:rPr>
              <w:t>C</w:t>
            </w:r>
            <w:r w:rsidRPr="00B96967">
              <w:rPr>
                <w:rFonts w:eastAsia="Corbel"/>
                <w:color w:val="3C3C3C" w:themeColor="background2" w:themeShade="40"/>
                <w:sz w:val="20"/>
                <w:szCs w:val="22"/>
              </w:rPr>
              <w:t>ommittees and in NGO activities)?</w:t>
            </w:r>
          </w:p>
          <w:p w14:paraId="78286E91" w14:textId="77777777"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 xml:space="preserve">What benefits or changes have women and girls experienced from the program? </w:t>
            </w:r>
          </w:p>
          <w:p w14:paraId="4226BA2B" w14:textId="77777777"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lastRenderedPageBreak/>
              <w:t>What benefits or changes have people with disabilities experienced from the program?</w:t>
            </w:r>
          </w:p>
          <w:p w14:paraId="62C0E972" w14:textId="77777777" w:rsidR="006734E5" w:rsidRPr="00B96967" w:rsidRDefault="006734E5" w:rsidP="006734E5">
            <w:pPr>
              <w:numPr>
                <w:ilvl w:val="1"/>
                <w:numId w:val="21"/>
              </w:numPr>
              <w:contextualSpacing/>
              <w:rPr>
                <w:rFonts w:eastAsia="Corbel"/>
                <w:color w:val="3C3C3C" w:themeColor="background2" w:themeShade="40"/>
                <w:sz w:val="20"/>
                <w:szCs w:val="22"/>
              </w:rPr>
            </w:pPr>
            <w:bookmarkStart w:id="39" w:name="_Hlk501105020"/>
            <w:r w:rsidRPr="00B96967">
              <w:rPr>
                <w:rFonts w:eastAsia="Corbel"/>
                <w:color w:val="3C3C3C" w:themeColor="background2" w:themeShade="40"/>
                <w:sz w:val="20"/>
                <w:szCs w:val="22"/>
              </w:rPr>
              <w:t xml:space="preserve">To what extent are children and youth involved in and benefiting from the program? </w:t>
            </w:r>
          </w:p>
          <w:bookmarkEnd w:id="39"/>
          <w:p w14:paraId="1DC8B4D9" w14:textId="77777777" w:rsidR="006734E5" w:rsidRPr="00B96967" w:rsidRDefault="006734E5" w:rsidP="006734E5">
            <w:pPr>
              <w:numPr>
                <w:ilvl w:val="1"/>
                <w:numId w:val="21"/>
              </w:numPr>
              <w:contextualSpacing/>
              <w:rPr>
                <w:rFonts w:eastAsia="Corbel"/>
                <w:bCs/>
                <w:iCs/>
                <w:color w:val="3C3C3C" w:themeColor="background2" w:themeShade="40"/>
                <w:sz w:val="20"/>
                <w:szCs w:val="22"/>
              </w:rPr>
            </w:pPr>
            <w:r w:rsidRPr="00B96967">
              <w:rPr>
                <w:rFonts w:eastAsia="Corbel"/>
                <w:color w:val="3C3C3C" w:themeColor="background2" w:themeShade="40"/>
                <w:sz w:val="20"/>
                <w:szCs w:val="22"/>
              </w:rPr>
              <w:t>Are the necessary policy, systems and processes in place to protect children?</w:t>
            </w:r>
            <w:r w:rsidRPr="00B96967">
              <w:rPr>
                <w:rFonts w:eastAsia="Corbel"/>
                <w:color w:val="3C3C3C" w:themeColor="background2" w:themeShade="40"/>
                <w:sz w:val="20"/>
                <w:szCs w:val="22"/>
                <w:vertAlign w:val="superscript"/>
              </w:rPr>
              <w:footnoteReference w:id="49"/>
            </w:r>
          </w:p>
        </w:tc>
      </w:tr>
      <w:tr w:rsidR="006734E5" w:rsidRPr="00B96967" w14:paraId="772A3112" w14:textId="77777777" w:rsidTr="00D97771">
        <w:trPr>
          <w:trHeight w:val="251"/>
        </w:trPr>
        <w:tc>
          <w:tcPr>
            <w:tcW w:w="9464" w:type="dxa"/>
            <w:gridSpan w:val="2"/>
            <w:shd w:val="clear" w:color="auto" w:fill="CACACA"/>
          </w:tcPr>
          <w:p w14:paraId="10E9DF5A" w14:textId="77777777" w:rsidR="006734E5" w:rsidRPr="00B96967" w:rsidRDefault="006734E5" w:rsidP="00D97771">
            <w:pPr>
              <w:rPr>
                <w:color w:val="3C3C3C" w:themeColor="background2" w:themeShade="40"/>
                <w:sz w:val="20"/>
                <w:szCs w:val="22"/>
              </w:rPr>
            </w:pPr>
            <w:r w:rsidRPr="00B96967">
              <w:rPr>
                <w:color w:val="3C3C3C" w:themeColor="background2" w:themeShade="40"/>
                <w:sz w:val="20"/>
                <w:szCs w:val="22"/>
              </w:rPr>
              <w:lastRenderedPageBreak/>
              <w:t>EFFICIENCY</w:t>
            </w:r>
          </w:p>
        </w:tc>
      </w:tr>
      <w:tr w:rsidR="006734E5" w:rsidRPr="00B96967" w14:paraId="26B90848" w14:textId="77777777" w:rsidTr="00392774">
        <w:trPr>
          <w:trHeight w:val="728"/>
        </w:trPr>
        <w:tc>
          <w:tcPr>
            <w:tcW w:w="2515" w:type="dxa"/>
          </w:tcPr>
          <w:p w14:paraId="28A97447" w14:textId="77777777" w:rsidR="006734E5" w:rsidRPr="00B96967" w:rsidRDefault="006734E5" w:rsidP="006734E5">
            <w:pPr>
              <w:numPr>
                <w:ilvl w:val="0"/>
                <w:numId w:val="21"/>
              </w:numPr>
              <w:contextualSpacing/>
              <w:rPr>
                <w:rFonts w:eastAsia="Corbel"/>
                <w:sz w:val="20"/>
                <w:szCs w:val="22"/>
              </w:rPr>
            </w:pPr>
            <w:r w:rsidRPr="00B96967">
              <w:rPr>
                <w:rFonts w:eastAsia="Corbel"/>
                <w:sz w:val="20"/>
                <w:szCs w:val="22"/>
              </w:rPr>
              <w:t>Is Disaster READY making appropriate use of Australia’s and our partners’ time and resources to achieve outcomes?</w:t>
            </w:r>
          </w:p>
        </w:tc>
        <w:tc>
          <w:tcPr>
            <w:tcW w:w="6949" w:type="dxa"/>
          </w:tcPr>
          <w:p w14:paraId="07DEA1A3" w14:textId="77777777"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What evidence is there that the program is making appropriate use of time and resources to achieve outcomes?</w:t>
            </w:r>
          </w:p>
          <w:p w14:paraId="02EB9587" w14:textId="77777777"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Do predicted budgets compare well to actual expenditure?</w:t>
            </w:r>
          </w:p>
          <w:p w14:paraId="22D40F12" w14:textId="77777777"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What has been the value-add of the ANGO headquarters and the SU?</w:t>
            </w:r>
          </w:p>
          <w:p w14:paraId="3C52F3C4" w14:textId="664E762A"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Has the coordination between NGOs in-country been worth the effort (greater reach, impact, reduced burden on other stakeholders, duplication avoided</w:t>
            </w:r>
            <w:r w:rsidR="001B44A2" w:rsidRPr="00B96967">
              <w:rPr>
                <w:rFonts w:eastAsia="Corbel"/>
                <w:color w:val="3C3C3C" w:themeColor="background2" w:themeShade="40"/>
                <w:sz w:val="20"/>
                <w:szCs w:val="22"/>
              </w:rPr>
              <w:t>,</w:t>
            </w:r>
            <w:r w:rsidRPr="00B96967">
              <w:rPr>
                <w:rFonts w:eastAsia="Corbel"/>
                <w:color w:val="3C3C3C" w:themeColor="background2" w:themeShade="40"/>
                <w:sz w:val="20"/>
                <w:szCs w:val="22"/>
              </w:rPr>
              <w:t xml:space="preserve"> etc</w:t>
            </w:r>
            <w:r w:rsidR="001B44A2" w:rsidRPr="00B96967">
              <w:rPr>
                <w:rFonts w:eastAsia="Corbel"/>
                <w:color w:val="3C3C3C" w:themeColor="background2" w:themeShade="40"/>
                <w:sz w:val="20"/>
                <w:szCs w:val="22"/>
              </w:rPr>
              <w:t>.</w:t>
            </w:r>
            <w:r w:rsidRPr="00B96967">
              <w:rPr>
                <w:rFonts w:eastAsia="Corbel"/>
                <w:color w:val="3C3C3C" w:themeColor="background2" w:themeShade="40"/>
                <w:sz w:val="20"/>
                <w:szCs w:val="22"/>
              </w:rPr>
              <w:t>)?</w:t>
            </w:r>
          </w:p>
          <w:p w14:paraId="555E88F5" w14:textId="05EEC37A"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 xml:space="preserve">Have </w:t>
            </w:r>
            <w:r w:rsidR="00F83E02" w:rsidRPr="00B96967">
              <w:rPr>
                <w:rFonts w:eastAsia="Corbel"/>
                <w:color w:val="3C3C3C" w:themeColor="background2" w:themeShade="40"/>
                <w:sz w:val="20"/>
                <w:szCs w:val="22"/>
              </w:rPr>
              <w:t>shared s</w:t>
            </w:r>
            <w:r w:rsidR="00BF1A40" w:rsidRPr="00B96967">
              <w:rPr>
                <w:rFonts w:eastAsia="Corbel"/>
                <w:color w:val="3C3C3C" w:themeColor="background2" w:themeShade="40"/>
                <w:sz w:val="20"/>
                <w:szCs w:val="22"/>
              </w:rPr>
              <w:t>ervices</w:t>
            </w:r>
            <w:r w:rsidRPr="00B96967">
              <w:rPr>
                <w:rFonts w:eastAsia="Corbel"/>
                <w:color w:val="3C3C3C" w:themeColor="background2" w:themeShade="40"/>
                <w:sz w:val="20"/>
                <w:szCs w:val="22"/>
              </w:rPr>
              <w:t xml:space="preserve"> been worth the effort?</w:t>
            </w:r>
          </w:p>
        </w:tc>
      </w:tr>
      <w:tr w:rsidR="006734E5" w:rsidRPr="00B96967" w14:paraId="6A989BF1" w14:textId="77777777" w:rsidTr="00D97771">
        <w:trPr>
          <w:trHeight w:val="233"/>
        </w:trPr>
        <w:tc>
          <w:tcPr>
            <w:tcW w:w="9464" w:type="dxa"/>
            <w:gridSpan w:val="2"/>
            <w:shd w:val="clear" w:color="auto" w:fill="CACACA"/>
          </w:tcPr>
          <w:p w14:paraId="237F6D80" w14:textId="77777777" w:rsidR="006734E5" w:rsidRPr="00B96967" w:rsidRDefault="006734E5" w:rsidP="00D97771">
            <w:pPr>
              <w:rPr>
                <w:color w:val="3C3C3C" w:themeColor="background2" w:themeShade="40"/>
                <w:sz w:val="20"/>
                <w:szCs w:val="22"/>
              </w:rPr>
            </w:pPr>
            <w:r w:rsidRPr="00B96967">
              <w:rPr>
                <w:color w:val="3C3C3C" w:themeColor="background2" w:themeShade="40"/>
                <w:sz w:val="20"/>
                <w:szCs w:val="22"/>
              </w:rPr>
              <w:t>RELEVANCE</w:t>
            </w:r>
          </w:p>
        </w:tc>
      </w:tr>
      <w:tr w:rsidR="006734E5" w:rsidRPr="00B96967" w14:paraId="237ABED3" w14:textId="77777777" w:rsidTr="00392774">
        <w:trPr>
          <w:trHeight w:val="728"/>
        </w:trPr>
        <w:tc>
          <w:tcPr>
            <w:tcW w:w="2515" w:type="dxa"/>
          </w:tcPr>
          <w:p w14:paraId="7BA36196" w14:textId="77777777" w:rsidR="006734E5" w:rsidRPr="00B96967" w:rsidRDefault="006734E5" w:rsidP="006734E5">
            <w:pPr>
              <w:numPr>
                <w:ilvl w:val="0"/>
                <w:numId w:val="21"/>
              </w:numPr>
              <w:contextualSpacing/>
              <w:rPr>
                <w:rFonts w:eastAsia="Corbel"/>
                <w:sz w:val="20"/>
                <w:szCs w:val="22"/>
              </w:rPr>
            </w:pPr>
            <w:r w:rsidRPr="00B96967">
              <w:rPr>
                <w:rFonts w:eastAsia="Corbel"/>
                <w:sz w:val="20"/>
                <w:szCs w:val="22"/>
              </w:rPr>
              <w:t>Is this still the right thing to do?</w:t>
            </w:r>
          </w:p>
        </w:tc>
        <w:tc>
          <w:tcPr>
            <w:tcW w:w="6949" w:type="dxa"/>
          </w:tcPr>
          <w:p w14:paraId="45E3AD0E" w14:textId="77777777"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Have changes to the economic, social or political context affected the relevance of the program?</w:t>
            </w:r>
          </w:p>
          <w:p w14:paraId="4A72CBC6" w14:textId="77777777"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Are the program’s activities and approach the most appropriate way to achieve its outcomes?</w:t>
            </w:r>
          </w:p>
          <w:p w14:paraId="31005508" w14:textId="77777777"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To what extent has DFAT Post been engaged in the program (e.g. Post awareness of and support for Disaster READY)</w:t>
            </w:r>
          </w:p>
          <w:p w14:paraId="74CACF2C" w14:textId="77777777"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Are the program results, engagement with and from Post, and NGO coordination sufficient to continue funding the activities in each country?</w:t>
            </w:r>
          </w:p>
        </w:tc>
      </w:tr>
      <w:tr w:rsidR="006734E5" w:rsidRPr="00B96967" w14:paraId="4EB40558" w14:textId="77777777" w:rsidTr="00D97771">
        <w:trPr>
          <w:trHeight w:val="233"/>
        </w:trPr>
        <w:tc>
          <w:tcPr>
            <w:tcW w:w="9464" w:type="dxa"/>
            <w:gridSpan w:val="2"/>
            <w:shd w:val="clear" w:color="auto" w:fill="CACACA"/>
          </w:tcPr>
          <w:p w14:paraId="36F77799" w14:textId="77777777" w:rsidR="006734E5" w:rsidRPr="00B96967" w:rsidRDefault="006734E5" w:rsidP="00D97771">
            <w:pPr>
              <w:rPr>
                <w:color w:val="3C3C3C" w:themeColor="background2" w:themeShade="40"/>
                <w:sz w:val="20"/>
                <w:szCs w:val="22"/>
              </w:rPr>
            </w:pPr>
            <w:r w:rsidRPr="00B96967">
              <w:rPr>
                <w:color w:val="3C3C3C" w:themeColor="background2" w:themeShade="40"/>
                <w:sz w:val="20"/>
                <w:szCs w:val="22"/>
              </w:rPr>
              <w:t>SUSTAINABILITY</w:t>
            </w:r>
          </w:p>
        </w:tc>
      </w:tr>
      <w:tr w:rsidR="006734E5" w:rsidRPr="00B96967" w14:paraId="04C5B458" w14:textId="77777777" w:rsidTr="00392774">
        <w:trPr>
          <w:trHeight w:val="728"/>
        </w:trPr>
        <w:tc>
          <w:tcPr>
            <w:tcW w:w="2515" w:type="dxa"/>
          </w:tcPr>
          <w:p w14:paraId="6B3DD5DC" w14:textId="77777777" w:rsidR="006734E5" w:rsidRPr="00B96967" w:rsidRDefault="006734E5" w:rsidP="006734E5">
            <w:pPr>
              <w:numPr>
                <w:ilvl w:val="0"/>
                <w:numId w:val="21"/>
              </w:numPr>
              <w:contextualSpacing/>
              <w:rPr>
                <w:rFonts w:eastAsia="Corbel"/>
                <w:sz w:val="20"/>
                <w:szCs w:val="22"/>
              </w:rPr>
            </w:pPr>
            <w:r w:rsidRPr="00B96967">
              <w:rPr>
                <w:rFonts w:eastAsia="Corbel"/>
                <w:sz w:val="20"/>
                <w:szCs w:val="22"/>
              </w:rPr>
              <w:t>Will the benefits of Disaster READY last?</w:t>
            </w:r>
          </w:p>
        </w:tc>
        <w:tc>
          <w:tcPr>
            <w:tcW w:w="6949" w:type="dxa"/>
          </w:tcPr>
          <w:p w14:paraId="3E425168" w14:textId="77777777"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To what extent is the program using local systems and processes and strengthening the capacity of local institutions?</w:t>
            </w:r>
          </w:p>
          <w:p w14:paraId="1139DF9F" w14:textId="77777777"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Are climate change and disaster risks associated with the program identified and effectively managed?</w:t>
            </w:r>
          </w:p>
          <w:p w14:paraId="74448C42" w14:textId="77777777" w:rsidR="006734E5" w:rsidRPr="00B96967" w:rsidRDefault="006734E5" w:rsidP="006734E5">
            <w:pPr>
              <w:numPr>
                <w:ilvl w:val="1"/>
                <w:numId w:val="21"/>
              </w:numPr>
              <w:contextualSpacing/>
              <w:rPr>
                <w:rFonts w:eastAsia="Corbel"/>
                <w:color w:val="3C3C3C" w:themeColor="background2" w:themeShade="40"/>
                <w:sz w:val="20"/>
                <w:szCs w:val="22"/>
              </w:rPr>
            </w:pPr>
            <w:r w:rsidRPr="00B96967">
              <w:rPr>
                <w:rFonts w:eastAsia="Corbel"/>
                <w:color w:val="3C3C3C" w:themeColor="background2" w:themeShade="40"/>
                <w:sz w:val="20"/>
                <w:szCs w:val="22"/>
              </w:rPr>
              <w:t>What evidence is there that benefits are being sustained?</w:t>
            </w:r>
          </w:p>
        </w:tc>
      </w:tr>
    </w:tbl>
    <w:p w14:paraId="18CFE000" w14:textId="77777777" w:rsidR="00392774" w:rsidRDefault="00392774" w:rsidP="00AB0FEA">
      <w:pPr>
        <w:rPr>
          <w:b/>
        </w:rPr>
      </w:pPr>
      <w:bookmarkStart w:id="40" w:name="_Toc499652282"/>
    </w:p>
    <w:p w14:paraId="4CD9EC23" w14:textId="19977ECB" w:rsidR="006734E5" w:rsidRPr="00392774" w:rsidRDefault="006734E5" w:rsidP="00AB0FEA">
      <w:pPr>
        <w:rPr>
          <w:b/>
        </w:rPr>
      </w:pPr>
      <w:r w:rsidRPr="00392774">
        <w:rPr>
          <w:b/>
        </w:rPr>
        <w:t xml:space="preserve">Defining effectiveness and inclusion in more detail </w:t>
      </w:r>
      <w:r w:rsidR="001B44A2" w:rsidRPr="00392774">
        <w:rPr>
          <w:b/>
        </w:rPr>
        <w:t>–</w:t>
      </w:r>
      <w:r w:rsidRPr="00392774">
        <w:rPr>
          <w:b/>
        </w:rPr>
        <w:t xml:space="preserve"> </w:t>
      </w:r>
      <w:r w:rsidR="00AB0FEA" w:rsidRPr="00392774">
        <w:rPr>
          <w:b/>
        </w:rPr>
        <w:t>C</w:t>
      </w:r>
      <w:r w:rsidRPr="00392774">
        <w:rPr>
          <w:b/>
        </w:rPr>
        <w:t xml:space="preserve">ore </w:t>
      </w:r>
      <w:r w:rsidR="00AB0FEA" w:rsidRPr="00394C86">
        <w:rPr>
          <w:b/>
        </w:rPr>
        <w:t>O</w:t>
      </w:r>
      <w:r w:rsidRPr="00392774">
        <w:rPr>
          <w:b/>
        </w:rPr>
        <w:t>utcomes and Indicators</w:t>
      </w:r>
    </w:p>
    <w:p w14:paraId="5F44D65A" w14:textId="48F73FFC" w:rsidR="006734E5" w:rsidRPr="00394C86" w:rsidRDefault="006734E5" w:rsidP="006734E5">
      <w:r w:rsidRPr="00394C86">
        <w:rPr>
          <w:rFonts w:eastAsia="SimSun"/>
          <w:color w:val="3C3C3C"/>
        </w:rPr>
        <w:t xml:space="preserve">As noted earlier, Disaster READY has been designed around a core set of outcomes and indicators. This common framework will enable shared analysis, learning, and communication across partners in each country and for the program as a whole (see Annex 1). The outcomes and indicators will provide information on </w:t>
      </w:r>
      <w:r w:rsidRPr="00394C86">
        <w:rPr>
          <w:color w:val="3C3C3C" w:themeColor="background2" w:themeShade="40"/>
        </w:rPr>
        <w:t>effectiveness and inclusion</w:t>
      </w:r>
      <w:r w:rsidR="001B44A2" w:rsidRPr="00394C86">
        <w:rPr>
          <w:rFonts w:eastAsia="SimSun"/>
          <w:color w:val="3C3C3C"/>
        </w:rPr>
        <w:t xml:space="preserve"> in particular</w:t>
      </w:r>
      <w:r w:rsidRPr="00394C86">
        <w:t xml:space="preserve">. </w:t>
      </w:r>
    </w:p>
    <w:p w14:paraId="265833BE" w14:textId="0D7DE07E" w:rsidR="006734E5" w:rsidRPr="00394C86" w:rsidRDefault="006734E5" w:rsidP="00392774">
      <w:r w:rsidRPr="00394C86">
        <w:rPr>
          <w:color w:val="3C3C3C" w:themeColor="background2" w:themeShade="40"/>
        </w:rPr>
        <w:t xml:space="preserve">The indicators are primarily quantitative to facilitate analysis and reporting. The NGOs are also expected to provide additional quantitative and qualitative data on the results of their activities. These will also be analysed on an annual basis by the AHP SU to identify trends, themes or cases of note. </w:t>
      </w:r>
      <w:r w:rsidR="00921E6E">
        <w:br/>
      </w:r>
    </w:p>
    <w:p w14:paraId="20C5D751" w14:textId="35391358" w:rsidR="006734E5" w:rsidRPr="00392774" w:rsidRDefault="006734E5" w:rsidP="000B60BA">
      <w:pPr>
        <w:pStyle w:val="Heading2"/>
        <w:rPr>
          <w:rFonts w:ascii="Calibri" w:hAnsi="Calibri" w:cs="Calibri"/>
        </w:rPr>
      </w:pPr>
      <w:bookmarkStart w:id="41" w:name="_Toc501451678"/>
      <w:r w:rsidRPr="00392774">
        <w:rPr>
          <w:rFonts w:ascii="Calibri" w:hAnsi="Calibri" w:cs="Calibri"/>
        </w:rPr>
        <w:t xml:space="preserve">Levels of </w:t>
      </w:r>
      <w:r w:rsidR="00921E6E">
        <w:rPr>
          <w:rFonts w:ascii="Calibri" w:hAnsi="Calibri" w:cs="Calibri"/>
        </w:rPr>
        <w:t>E</w:t>
      </w:r>
      <w:r w:rsidRPr="00392774">
        <w:rPr>
          <w:rFonts w:ascii="Calibri" w:hAnsi="Calibri" w:cs="Calibri"/>
        </w:rPr>
        <w:t>nquiry</w:t>
      </w:r>
      <w:bookmarkEnd w:id="40"/>
      <w:bookmarkEnd w:id="41"/>
    </w:p>
    <w:p w14:paraId="60E2095A" w14:textId="77777777" w:rsidR="006734E5" w:rsidRPr="00394C86" w:rsidRDefault="006734E5" w:rsidP="006734E5">
      <w:pPr>
        <w:rPr>
          <w:rFonts w:eastAsia="SimSun"/>
          <w:color w:val="3C3C3C"/>
        </w:rPr>
      </w:pPr>
      <w:r w:rsidRPr="00394C86">
        <w:rPr>
          <w:rFonts w:eastAsia="SimSun"/>
          <w:color w:val="3C3C3C"/>
        </w:rPr>
        <w:lastRenderedPageBreak/>
        <w:t>There are three levels of enquiry and analysis for Disaster READY</w:t>
      </w:r>
      <w:r w:rsidRPr="00394C86">
        <w:rPr>
          <w:rFonts w:eastAsia="SimSun"/>
          <w:i/>
          <w:color w:val="3C3C3C"/>
        </w:rPr>
        <w:t xml:space="preserve">. </w:t>
      </w:r>
      <w:r w:rsidRPr="00394C86">
        <w:rPr>
          <w:rFonts w:eastAsia="SimSun"/>
          <w:color w:val="3C3C3C"/>
        </w:rPr>
        <w:t>These include:</w:t>
      </w:r>
    </w:p>
    <w:p w14:paraId="5A8DB41C" w14:textId="77777777" w:rsidR="006734E5" w:rsidRPr="00394C86" w:rsidRDefault="006734E5" w:rsidP="006734E5">
      <w:pPr>
        <w:numPr>
          <w:ilvl w:val="0"/>
          <w:numId w:val="19"/>
        </w:numPr>
        <w:spacing w:after="120" w:line="240" w:lineRule="auto"/>
        <w:contextualSpacing/>
        <w:rPr>
          <w:rFonts w:eastAsia="Corbel"/>
          <w:color w:val="3C3C3C"/>
        </w:rPr>
      </w:pPr>
      <w:r w:rsidRPr="00394C86">
        <w:rPr>
          <w:rFonts w:eastAsia="Corbel"/>
          <w:color w:val="3C3C3C"/>
        </w:rPr>
        <w:t xml:space="preserve">Overarching program </w:t>
      </w:r>
    </w:p>
    <w:p w14:paraId="09437E07" w14:textId="77777777" w:rsidR="006734E5" w:rsidRPr="00394C86" w:rsidRDefault="006734E5" w:rsidP="006734E5">
      <w:pPr>
        <w:numPr>
          <w:ilvl w:val="0"/>
          <w:numId w:val="19"/>
        </w:numPr>
        <w:spacing w:after="120" w:line="240" w:lineRule="auto"/>
        <w:contextualSpacing/>
        <w:rPr>
          <w:rFonts w:eastAsia="Corbel"/>
          <w:color w:val="3C3C3C"/>
        </w:rPr>
      </w:pPr>
      <w:r w:rsidRPr="00394C86">
        <w:rPr>
          <w:rFonts w:eastAsia="Corbel"/>
          <w:color w:val="3C3C3C"/>
        </w:rPr>
        <w:t>Country plan</w:t>
      </w:r>
    </w:p>
    <w:p w14:paraId="7D467C93" w14:textId="77777777" w:rsidR="006734E5" w:rsidRPr="00394C86" w:rsidRDefault="006734E5" w:rsidP="006734E5">
      <w:pPr>
        <w:numPr>
          <w:ilvl w:val="0"/>
          <w:numId w:val="19"/>
        </w:numPr>
        <w:spacing w:after="120" w:line="240" w:lineRule="auto"/>
        <w:contextualSpacing/>
        <w:rPr>
          <w:rFonts w:eastAsia="Corbel"/>
          <w:color w:val="3C3C3C"/>
        </w:rPr>
      </w:pPr>
      <w:r w:rsidRPr="00394C86">
        <w:rPr>
          <w:rFonts w:eastAsia="Corbel"/>
          <w:color w:val="3C3C3C"/>
        </w:rPr>
        <w:t xml:space="preserve">NGO activity plan (sub design) </w:t>
      </w:r>
    </w:p>
    <w:p w14:paraId="14260FC9" w14:textId="77777777" w:rsidR="006734E5" w:rsidRPr="00394C86" w:rsidRDefault="006734E5" w:rsidP="006734E5">
      <w:pPr>
        <w:spacing w:after="120" w:line="240" w:lineRule="auto"/>
        <w:ind w:left="720"/>
        <w:contextualSpacing/>
        <w:rPr>
          <w:rFonts w:eastAsia="Corbel"/>
          <w:color w:val="3C3C3C"/>
        </w:rPr>
      </w:pPr>
    </w:p>
    <w:p w14:paraId="13385994" w14:textId="736C99EB" w:rsidR="006734E5" w:rsidRPr="00394C86" w:rsidRDefault="006734E5" w:rsidP="006734E5">
      <w:pPr>
        <w:spacing w:after="120" w:line="240" w:lineRule="auto"/>
        <w:rPr>
          <w:rFonts w:eastAsia="SimSun"/>
          <w:color w:val="3C3C3C"/>
        </w:rPr>
      </w:pPr>
      <w:r w:rsidRPr="00394C86">
        <w:rPr>
          <w:rFonts w:eastAsia="SimSun"/>
          <w:color w:val="3C3C3C"/>
        </w:rPr>
        <w:t>Each of these levels of enquiry are explained in more detail below.</w:t>
      </w:r>
      <w:r w:rsidR="00921E6E">
        <w:rPr>
          <w:rFonts w:eastAsia="SimSun"/>
          <w:color w:val="3C3C3C"/>
        </w:rPr>
        <w:br/>
      </w:r>
    </w:p>
    <w:p w14:paraId="73D14825" w14:textId="181B6910" w:rsidR="006734E5" w:rsidRPr="00392774" w:rsidRDefault="006734E5" w:rsidP="000B60BA">
      <w:pPr>
        <w:pStyle w:val="Heading2"/>
        <w:rPr>
          <w:rFonts w:ascii="Calibri" w:hAnsi="Calibri" w:cs="Calibri"/>
        </w:rPr>
      </w:pPr>
      <w:bookmarkStart w:id="42" w:name="_Toc499652283"/>
      <w:bookmarkStart w:id="43" w:name="_Toc501451679"/>
      <w:r w:rsidRPr="00392774">
        <w:rPr>
          <w:rFonts w:ascii="Calibri" w:hAnsi="Calibri" w:cs="Calibri"/>
        </w:rPr>
        <w:t>Program Level</w:t>
      </w:r>
      <w:bookmarkEnd w:id="42"/>
      <w:bookmarkEnd w:id="43"/>
    </w:p>
    <w:p w14:paraId="30240466" w14:textId="7A57D2CC" w:rsidR="006734E5" w:rsidRPr="00394C86" w:rsidRDefault="006734E5" w:rsidP="00392774">
      <w:pPr>
        <w:rPr>
          <w:rFonts w:eastAsia="SimSun"/>
          <w:color w:val="3C3C3C" w:themeColor="background2" w:themeShade="40"/>
        </w:rPr>
      </w:pPr>
      <w:r w:rsidRPr="00394C86">
        <w:rPr>
          <w:rFonts w:eastAsia="SimSun"/>
          <w:b/>
          <w:color w:val="3C3C3C" w:themeColor="background2" w:themeShade="40"/>
        </w:rPr>
        <w:t>Lead</w:t>
      </w:r>
      <w:r w:rsidR="00921E6E">
        <w:rPr>
          <w:rFonts w:eastAsia="SimSun"/>
          <w:b/>
          <w:color w:val="3C3C3C" w:themeColor="background2" w:themeShade="40"/>
        </w:rPr>
        <w:t xml:space="preserve"> </w:t>
      </w:r>
      <w:r w:rsidRPr="00394C86">
        <w:rPr>
          <w:rFonts w:eastAsia="SimSun"/>
          <w:b/>
          <w:color w:val="3C3C3C" w:themeColor="background2" w:themeShade="40"/>
        </w:rPr>
        <w:t>responsibility</w:t>
      </w:r>
      <w:r w:rsidR="00921E6E">
        <w:rPr>
          <w:rFonts w:eastAsia="SimSun"/>
          <w:color w:val="3C3C3C" w:themeColor="background2" w:themeShade="40"/>
        </w:rPr>
        <w:br/>
      </w:r>
      <w:r w:rsidR="00921E6E">
        <w:rPr>
          <w:rFonts w:eastAsia="SimSun"/>
          <w:color w:val="3C3C3C" w:themeColor="background2" w:themeShade="40"/>
        </w:rPr>
        <w:br/>
      </w:r>
      <w:r w:rsidRPr="00394C86">
        <w:rPr>
          <w:rFonts w:eastAsia="SimSun"/>
          <w:color w:val="3C3C3C" w:themeColor="background2" w:themeShade="40"/>
        </w:rPr>
        <w:t>Assessment of the progress and results of Disaster READY is the responsibility of the Steering Committee. The Steering Committee will meet quarterly in 2018 and six</w:t>
      </w:r>
      <w:r w:rsidR="001B44A2" w:rsidRPr="00394C86">
        <w:rPr>
          <w:rFonts w:eastAsia="SimSun"/>
          <w:color w:val="3C3C3C" w:themeColor="background2" w:themeShade="40"/>
        </w:rPr>
        <w:t>-</w:t>
      </w:r>
      <w:r w:rsidRPr="00394C86">
        <w:rPr>
          <w:rFonts w:eastAsia="SimSun"/>
          <w:color w:val="3C3C3C" w:themeColor="background2" w:themeShade="40"/>
        </w:rPr>
        <w:t>monthly in following years.</w:t>
      </w:r>
      <w:r w:rsidR="00921E6E">
        <w:rPr>
          <w:rFonts w:eastAsia="SimSun"/>
          <w:color w:val="3C3C3C" w:themeColor="background2" w:themeShade="40"/>
        </w:rPr>
        <w:br/>
      </w:r>
      <w:r w:rsidR="00921E6E">
        <w:rPr>
          <w:rFonts w:eastAsia="SimSun"/>
          <w:color w:val="3C3C3C" w:themeColor="background2" w:themeShade="40"/>
        </w:rPr>
        <w:br/>
      </w:r>
      <w:r w:rsidRPr="00394C86">
        <w:rPr>
          <w:rFonts w:eastAsia="SimSun"/>
          <w:color w:val="3C3C3C" w:themeColor="background2" w:themeShade="40"/>
        </w:rPr>
        <w:t xml:space="preserve">The AHP SU will assist the Steering Committee in this function by coordinating the M&amp;E and reporting for the overarching Disaster READY program. On an annual basis, the </w:t>
      </w:r>
      <w:r w:rsidR="001B44A2" w:rsidRPr="00394C86">
        <w:rPr>
          <w:rFonts w:eastAsia="SimSun"/>
          <w:color w:val="3C3C3C" w:themeColor="background2" w:themeShade="40"/>
        </w:rPr>
        <w:t>AHP SU</w:t>
      </w:r>
      <w:r w:rsidRPr="00394C86">
        <w:rPr>
          <w:rFonts w:eastAsia="SimSun"/>
          <w:color w:val="3C3C3C" w:themeColor="background2" w:themeShade="40"/>
        </w:rPr>
        <w:t xml:space="preserve"> will collate the results against the core outcomes at a country and program level and assess progress towards Disaster READY objectives. </w:t>
      </w:r>
      <w:r w:rsidRPr="00392774">
        <w:rPr>
          <w:rFonts w:eastAsia="SimSun"/>
          <w:color w:val="3C3C3C" w:themeColor="background2" w:themeShade="40"/>
        </w:rPr>
        <w:t>This will inform</w:t>
      </w:r>
      <w:r w:rsidR="003C3AAF" w:rsidRPr="00392774">
        <w:rPr>
          <w:rFonts w:eastAsia="SimSun"/>
          <w:color w:val="3C3C3C" w:themeColor="background2" w:themeShade="40"/>
        </w:rPr>
        <w:t xml:space="preserve"> DFAT’s </w:t>
      </w:r>
      <w:r w:rsidR="004812DC" w:rsidRPr="00392774">
        <w:rPr>
          <w:rFonts w:eastAsia="SimSun"/>
          <w:color w:val="3C3C3C" w:themeColor="background2" w:themeShade="40"/>
        </w:rPr>
        <w:t>assessment of</w:t>
      </w:r>
      <w:r w:rsidR="003C3AAF" w:rsidRPr="00392774">
        <w:rPr>
          <w:rFonts w:eastAsia="SimSun"/>
          <w:color w:val="3C3C3C" w:themeColor="background2" w:themeShade="40"/>
        </w:rPr>
        <w:t xml:space="preserve"> </w:t>
      </w:r>
      <w:r w:rsidRPr="00392774">
        <w:rPr>
          <w:rFonts w:eastAsia="SimSun"/>
          <w:color w:val="3C3C3C" w:themeColor="background2" w:themeShade="40"/>
        </w:rPr>
        <w:t>NGO</w:t>
      </w:r>
      <w:r w:rsidR="003C3AAF" w:rsidRPr="00392774">
        <w:rPr>
          <w:rFonts w:eastAsia="SimSun"/>
          <w:color w:val="3C3C3C" w:themeColor="background2" w:themeShade="40"/>
        </w:rPr>
        <w:t>s</w:t>
      </w:r>
      <w:r w:rsidRPr="00392774">
        <w:rPr>
          <w:rFonts w:eastAsia="SimSun"/>
          <w:color w:val="3C3C3C" w:themeColor="background2" w:themeShade="40"/>
        </w:rPr>
        <w:t xml:space="preserve"> </w:t>
      </w:r>
      <w:r w:rsidR="003C3AAF" w:rsidRPr="00B243F3">
        <w:rPr>
          <w:rFonts w:eastAsia="SimSun"/>
          <w:color w:val="3C3C3C" w:themeColor="background2" w:themeShade="40"/>
        </w:rPr>
        <w:t>and the</w:t>
      </w:r>
      <w:r w:rsidRPr="00B243F3">
        <w:rPr>
          <w:rFonts w:eastAsia="SimSun"/>
          <w:color w:val="3C3C3C" w:themeColor="background2" w:themeShade="40"/>
        </w:rPr>
        <w:t xml:space="preserve"> program’s performanc</w:t>
      </w:r>
      <w:r w:rsidR="003C3AAF" w:rsidRPr="00B243F3">
        <w:rPr>
          <w:rFonts w:eastAsia="SimSun"/>
          <w:color w:val="3C3C3C" w:themeColor="background2" w:themeShade="40"/>
        </w:rPr>
        <w:t>e</w:t>
      </w:r>
      <w:r w:rsidR="00872988" w:rsidRPr="00B243F3">
        <w:rPr>
          <w:rFonts w:eastAsia="SimSun"/>
          <w:color w:val="3C3C3C" w:themeColor="background2" w:themeShade="40"/>
        </w:rPr>
        <w:t xml:space="preserve"> (see Quality Assurance below for more on DFAT’s assessment)</w:t>
      </w:r>
      <w:r w:rsidR="004812DC" w:rsidRPr="00B243F3">
        <w:rPr>
          <w:rFonts w:eastAsia="SimSun"/>
          <w:color w:val="3C3C3C" w:themeColor="background2" w:themeShade="40"/>
        </w:rPr>
        <w:t>.</w:t>
      </w:r>
      <w:r w:rsidR="00447A65" w:rsidRPr="00B243F3">
        <w:rPr>
          <w:rFonts w:eastAsia="SimSun"/>
          <w:color w:val="3C3C3C" w:themeColor="background2" w:themeShade="40"/>
        </w:rPr>
        <w:t xml:space="preserve"> It </w:t>
      </w:r>
      <w:r w:rsidR="004812DC" w:rsidRPr="00B243F3">
        <w:rPr>
          <w:rFonts w:eastAsia="SimSun"/>
          <w:color w:val="3C3C3C" w:themeColor="background2" w:themeShade="40"/>
        </w:rPr>
        <w:t>will</w:t>
      </w:r>
      <w:r w:rsidR="00447A65" w:rsidRPr="00B243F3">
        <w:rPr>
          <w:rFonts w:eastAsia="SimSun"/>
          <w:color w:val="3C3C3C" w:themeColor="background2" w:themeShade="40"/>
        </w:rPr>
        <w:t xml:space="preserve"> also</w:t>
      </w:r>
      <w:r w:rsidRPr="00B243F3">
        <w:rPr>
          <w:rFonts w:eastAsia="SimSun"/>
          <w:color w:val="3C3C3C" w:themeColor="background2" w:themeShade="40"/>
        </w:rPr>
        <w:t xml:space="preserve"> enable program partners to tell a collective story about the results achieved. </w:t>
      </w:r>
      <w:r w:rsidR="00921E6E">
        <w:rPr>
          <w:rFonts w:eastAsia="SimSun"/>
          <w:color w:val="3C3C3C" w:themeColor="background2" w:themeShade="40"/>
        </w:rPr>
        <w:br/>
      </w:r>
      <w:r w:rsidR="00921E6E">
        <w:rPr>
          <w:rFonts w:eastAsia="SimSun"/>
          <w:color w:val="3C3C3C" w:themeColor="background2" w:themeShade="40"/>
        </w:rPr>
        <w:br/>
      </w:r>
      <w:r w:rsidRPr="00B243F3">
        <w:rPr>
          <w:rFonts w:eastAsia="SimSun"/>
          <w:color w:val="3C3C3C" w:themeColor="background2" w:themeShade="40"/>
        </w:rPr>
        <w:t xml:space="preserve">Each year, the </w:t>
      </w:r>
      <w:r w:rsidR="001B44A2" w:rsidRPr="00394C86">
        <w:rPr>
          <w:rFonts w:eastAsia="SimSun"/>
          <w:color w:val="3C3C3C" w:themeColor="background2" w:themeShade="40"/>
        </w:rPr>
        <w:t>AHP SU</w:t>
      </w:r>
      <w:r w:rsidRPr="00394C86">
        <w:rPr>
          <w:rFonts w:eastAsia="SimSun"/>
          <w:color w:val="3C3C3C" w:themeColor="background2" w:themeShade="40"/>
        </w:rPr>
        <w:t xml:space="preserve"> will review and update this M&amp;E framework as required. As part of this review, the </w:t>
      </w:r>
      <w:r w:rsidR="001B44A2" w:rsidRPr="00394C86">
        <w:rPr>
          <w:rFonts w:eastAsia="SimSun"/>
          <w:color w:val="3C3C3C" w:themeColor="background2" w:themeShade="40"/>
        </w:rPr>
        <w:t>AHP SU</w:t>
      </w:r>
      <w:r w:rsidRPr="00394C86">
        <w:rPr>
          <w:rFonts w:eastAsia="SimSun"/>
          <w:color w:val="3C3C3C" w:themeColor="background2" w:themeShade="40"/>
        </w:rPr>
        <w:t xml:space="preserve"> will facilitate stakeholders to review and update the theory of change if necessary.</w:t>
      </w:r>
    </w:p>
    <w:p w14:paraId="0A1C805F" w14:textId="12DFCDA3" w:rsidR="006734E5" w:rsidRPr="00394C86" w:rsidRDefault="006734E5" w:rsidP="00392774">
      <w:pPr>
        <w:rPr>
          <w:rFonts w:eastAsia="SimSun"/>
          <w:color w:val="3C3C3C"/>
        </w:rPr>
      </w:pPr>
      <w:r w:rsidRPr="00394C86">
        <w:rPr>
          <w:rFonts w:eastAsia="SimSun"/>
          <w:b/>
          <w:color w:val="3C3C3C" w:themeColor="background2" w:themeShade="40"/>
        </w:rPr>
        <w:t xml:space="preserve">Where the data will come from </w:t>
      </w:r>
      <w:r w:rsidR="00921E6E">
        <w:rPr>
          <w:rFonts w:eastAsia="SimSun"/>
          <w:color w:val="3C3C3C" w:themeColor="background2" w:themeShade="40"/>
        </w:rPr>
        <w:br/>
      </w:r>
      <w:r w:rsidR="00921E6E">
        <w:rPr>
          <w:rFonts w:eastAsia="SimSun"/>
          <w:color w:val="3C3C3C" w:themeColor="background2" w:themeShade="40"/>
        </w:rPr>
        <w:br/>
      </w:r>
      <w:r w:rsidR="002B78DC" w:rsidRPr="00394C86">
        <w:rPr>
          <w:rFonts w:eastAsia="SimSun"/>
          <w:color w:val="3C3C3C" w:themeColor="background2" w:themeShade="40"/>
        </w:rPr>
        <w:t xml:space="preserve">The </w:t>
      </w:r>
      <w:r w:rsidR="004812DC" w:rsidRPr="00394C86">
        <w:rPr>
          <w:rFonts w:eastAsia="SimSun"/>
          <w:b/>
          <w:color w:val="3C3C3C" w:themeColor="background2" w:themeShade="40"/>
        </w:rPr>
        <w:t>NGO</w:t>
      </w:r>
      <w:r w:rsidR="002B78DC" w:rsidRPr="00394C86">
        <w:rPr>
          <w:rFonts w:eastAsia="SimSun"/>
          <w:b/>
          <w:color w:val="3C3C3C" w:themeColor="background2" w:themeShade="40"/>
        </w:rPr>
        <w:t>s’</w:t>
      </w:r>
      <w:r w:rsidR="004812DC" w:rsidRPr="00394C86">
        <w:rPr>
          <w:rFonts w:eastAsia="SimSun"/>
          <w:b/>
          <w:color w:val="3C3C3C" w:themeColor="background2" w:themeShade="40"/>
        </w:rPr>
        <w:t xml:space="preserve"> </w:t>
      </w:r>
      <w:r w:rsidR="002B78DC" w:rsidRPr="00394C86">
        <w:rPr>
          <w:rFonts w:eastAsia="SimSun"/>
          <w:b/>
          <w:color w:val="3C3C3C" w:themeColor="background2" w:themeShade="40"/>
        </w:rPr>
        <w:t>M&amp;E</w:t>
      </w:r>
      <w:r w:rsidR="004812DC" w:rsidRPr="00394C86">
        <w:rPr>
          <w:rFonts w:eastAsia="SimSun"/>
          <w:b/>
          <w:color w:val="3C3C3C" w:themeColor="background2" w:themeShade="40"/>
        </w:rPr>
        <w:t xml:space="preserve"> </w:t>
      </w:r>
      <w:r w:rsidRPr="00394C86">
        <w:rPr>
          <w:rFonts w:eastAsia="SimSun"/>
          <w:color w:val="3C3C3C" w:themeColor="background2" w:themeShade="40"/>
        </w:rPr>
        <w:t>will provide the bulk of the information used to assess and report on the progress against Disaster READY objectives. On an annual basis</w:t>
      </w:r>
      <w:r w:rsidR="00037CD1" w:rsidRPr="00394C86">
        <w:rPr>
          <w:rFonts w:eastAsia="SimSun"/>
          <w:color w:val="3C3C3C" w:themeColor="background2" w:themeShade="40"/>
        </w:rPr>
        <w:t>,</w:t>
      </w:r>
      <w:r w:rsidRPr="00394C86">
        <w:rPr>
          <w:rFonts w:eastAsia="SimSun"/>
          <w:color w:val="3C3C3C" w:themeColor="background2" w:themeShade="40"/>
        </w:rPr>
        <w:t xml:space="preserve"> the NGOs will</w:t>
      </w:r>
      <w:r w:rsidR="00073268" w:rsidRPr="00394C86">
        <w:rPr>
          <w:rFonts w:eastAsia="SimSun"/>
          <w:color w:val="3C3C3C" w:themeColor="background2" w:themeShade="40"/>
        </w:rPr>
        <w:t>,</w:t>
      </w:r>
      <w:r w:rsidRPr="00394C86">
        <w:rPr>
          <w:rFonts w:eastAsia="SimSun"/>
          <w:color w:val="3C3C3C" w:themeColor="background2" w:themeShade="40"/>
        </w:rPr>
        <w:t xml:space="preserve"> individually and collectively as a </w:t>
      </w:r>
      <w:r w:rsidR="00037CD1" w:rsidRPr="00394C86">
        <w:rPr>
          <w:rFonts w:eastAsia="SimSun"/>
          <w:color w:val="3C3C3C" w:themeColor="background2" w:themeShade="40"/>
        </w:rPr>
        <w:t>C</w:t>
      </w:r>
      <w:r w:rsidRPr="00394C86">
        <w:rPr>
          <w:rFonts w:eastAsia="SimSun"/>
          <w:color w:val="3C3C3C" w:themeColor="background2" w:themeShade="40"/>
        </w:rPr>
        <w:t xml:space="preserve">ountry </w:t>
      </w:r>
      <w:r w:rsidR="00037CD1" w:rsidRPr="00394C86">
        <w:rPr>
          <w:rFonts w:eastAsia="SimSun"/>
          <w:color w:val="3C3C3C" w:themeColor="background2" w:themeShade="40"/>
        </w:rPr>
        <w:t>C</w:t>
      </w:r>
      <w:r w:rsidRPr="00394C86">
        <w:rPr>
          <w:rFonts w:eastAsia="SimSun"/>
          <w:color w:val="3C3C3C" w:themeColor="background2" w:themeShade="40"/>
        </w:rPr>
        <w:t>ommittee</w:t>
      </w:r>
      <w:r w:rsidR="00073268" w:rsidRPr="00394C86">
        <w:rPr>
          <w:rFonts w:eastAsia="SimSun"/>
          <w:color w:val="3C3C3C" w:themeColor="background2" w:themeShade="40"/>
        </w:rPr>
        <w:t>,</w:t>
      </w:r>
      <w:r w:rsidRPr="00394C86">
        <w:rPr>
          <w:rFonts w:eastAsia="SimSun"/>
          <w:color w:val="3C3C3C" w:themeColor="background2" w:themeShade="40"/>
        </w:rPr>
        <w:t xml:space="preserve"> review and report on progress (including results from </w:t>
      </w:r>
      <w:r w:rsidR="004812DC" w:rsidRPr="00394C86">
        <w:rPr>
          <w:rFonts w:eastAsia="SimSun"/>
          <w:color w:val="3C3C3C" w:themeColor="background2" w:themeShade="40"/>
        </w:rPr>
        <w:t>shared s</w:t>
      </w:r>
      <w:r w:rsidR="00BF1A40" w:rsidRPr="00394C86">
        <w:rPr>
          <w:rFonts w:eastAsia="SimSun"/>
          <w:color w:val="3C3C3C" w:themeColor="background2" w:themeShade="40"/>
        </w:rPr>
        <w:t>ervices</w:t>
      </w:r>
      <w:r w:rsidRPr="00394C86">
        <w:rPr>
          <w:rFonts w:eastAsia="SimSun"/>
          <w:color w:val="3C3C3C" w:themeColor="background2" w:themeShade="40"/>
        </w:rPr>
        <w:t>, the NGO multi-year funds, and any activities implemented under the P</w:t>
      </w:r>
      <w:r w:rsidR="004812DC" w:rsidRPr="00394C86">
        <w:rPr>
          <w:rFonts w:eastAsia="SimSun"/>
          <w:color w:val="3C3C3C" w:themeColor="background2" w:themeShade="40"/>
        </w:rPr>
        <w:t>PF</w:t>
      </w:r>
      <w:r w:rsidRPr="00394C86">
        <w:rPr>
          <w:rFonts w:eastAsia="SimSun"/>
          <w:color w:val="3C3C3C" w:themeColor="background2" w:themeShade="40"/>
        </w:rPr>
        <w:t>).</w:t>
      </w:r>
      <w:r w:rsidR="00921E6E">
        <w:rPr>
          <w:rFonts w:eastAsia="SimSun"/>
          <w:color w:val="3C3C3C" w:themeColor="background2" w:themeShade="40"/>
        </w:rPr>
        <w:br/>
      </w:r>
      <w:r w:rsidR="00921E6E">
        <w:rPr>
          <w:rFonts w:eastAsia="SimSun"/>
          <w:color w:val="3C3C3C" w:themeColor="background2" w:themeShade="40"/>
        </w:rPr>
        <w:br/>
      </w:r>
      <w:r w:rsidRPr="00394C86">
        <w:rPr>
          <w:rFonts w:eastAsia="SimSun"/>
          <w:color w:val="3C3C3C" w:themeColor="background2" w:themeShade="40"/>
        </w:rPr>
        <w:t xml:space="preserve">The </w:t>
      </w:r>
      <w:r w:rsidR="001B44A2" w:rsidRPr="00394C86">
        <w:rPr>
          <w:rFonts w:eastAsia="SimSun"/>
          <w:color w:val="3C3C3C" w:themeColor="background2" w:themeShade="40"/>
        </w:rPr>
        <w:t>AHP SU</w:t>
      </w:r>
      <w:r w:rsidRPr="00394C86">
        <w:rPr>
          <w:rFonts w:eastAsia="SimSun"/>
          <w:color w:val="3C3C3C" w:themeColor="background2" w:themeShade="40"/>
        </w:rPr>
        <w:t xml:space="preserve"> will also facilitate </w:t>
      </w:r>
      <w:r w:rsidRPr="00394C86">
        <w:rPr>
          <w:rFonts w:eastAsia="SimSun"/>
          <w:b/>
          <w:color w:val="3C3C3C" w:themeColor="background2" w:themeShade="40"/>
        </w:rPr>
        <w:t>a regional learning forum</w:t>
      </w:r>
      <w:r w:rsidRPr="00394C86">
        <w:rPr>
          <w:rFonts w:eastAsia="SimSun"/>
          <w:color w:val="3C3C3C" w:themeColor="background2" w:themeShade="40"/>
        </w:rPr>
        <w:t xml:space="preserve"> in 2019. This will involve a representative from each NGO consorti</w:t>
      </w:r>
      <w:r w:rsidR="00340A86" w:rsidRPr="00394C86">
        <w:rPr>
          <w:rFonts w:eastAsia="SimSun"/>
          <w:color w:val="3C3C3C" w:themeColor="background2" w:themeShade="40"/>
        </w:rPr>
        <w:t>um</w:t>
      </w:r>
      <w:r w:rsidRPr="00394C86">
        <w:rPr>
          <w:rFonts w:eastAsia="SimSun"/>
          <w:color w:val="3C3C3C" w:themeColor="background2" w:themeShade="40"/>
        </w:rPr>
        <w:t xml:space="preserve"> in each of the five countries, DFAT and the Pacific Disability Forum. The purpose of the forum is to review progress towards the program objectives and to identify successes, areas for improvement</w:t>
      </w:r>
      <w:r w:rsidR="00073268" w:rsidRPr="00394C86">
        <w:rPr>
          <w:rFonts w:eastAsia="SimSun"/>
          <w:color w:val="3C3C3C" w:themeColor="background2" w:themeShade="40"/>
        </w:rPr>
        <w:t>,</w:t>
      </w:r>
      <w:r w:rsidRPr="00394C86">
        <w:rPr>
          <w:rFonts w:eastAsia="SimSun"/>
          <w:color w:val="3C3C3C" w:themeColor="background2" w:themeShade="40"/>
        </w:rPr>
        <w:t xml:space="preserve"> and opportunities for coordination. NGOs are expected to send one representative from each of their countries of implementation and the ANGO</w:t>
      </w:r>
      <w:r w:rsidR="00447A65" w:rsidRPr="00394C86">
        <w:rPr>
          <w:rFonts w:eastAsia="SimSun"/>
          <w:color w:val="3C3C3C" w:themeColor="background2" w:themeShade="40"/>
        </w:rPr>
        <w:t>;</w:t>
      </w:r>
      <w:r w:rsidRPr="00394C86">
        <w:rPr>
          <w:rFonts w:eastAsia="SimSun"/>
          <w:color w:val="3C3C3C" w:themeColor="background2" w:themeShade="40"/>
        </w:rPr>
        <w:t xml:space="preserve"> the cost of this </w:t>
      </w:r>
      <w:r w:rsidR="00447A65" w:rsidRPr="00394C86">
        <w:rPr>
          <w:rFonts w:eastAsia="SimSun"/>
          <w:color w:val="3C3C3C" w:themeColor="background2" w:themeShade="40"/>
        </w:rPr>
        <w:t xml:space="preserve">will be funded from </w:t>
      </w:r>
      <w:r w:rsidRPr="00394C86">
        <w:rPr>
          <w:rFonts w:eastAsia="SimSun"/>
          <w:color w:val="3C3C3C" w:themeColor="background2" w:themeShade="40"/>
        </w:rPr>
        <w:t>their project budget. Venue hire, catering, the workshop facilitator</w:t>
      </w:r>
      <w:r w:rsidR="00073268" w:rsidRPr="00394C86">
        <w:rPr>
          <w:rFonts w:eastAsia="SimSun"/>
          <w:color w:val="3C3C3C" w:themeColor="background2" w:themeShade="40"/>
        </w:rPr>
        <w:t>,</w:t>
      </w:r>
      <w:r w:rsidRPr="00394C86">
        <w:rPr>
          <w:rFonts w:eastAsia="SimSun"/>
          <w:color w:val="3C3C3C" w:themeColor="background2" w:themeShade="40"/>
        </w:rPr>
        <w:t xml:space="preserve"> and travel for the PDF </w:t>
      </w:r>
      <w:r w:rsidRPr="00394C86">
        <w:rPr>
          <w:rFonts w:eastAsia="SimSun"/>
          <w:color w:val="3C3C3C"/>
        </w:rPr>
        <w:t xml:space="preserve">representative </w:t>
      </w:r>
      <w:r w:rsidR="00073268" w:rsidRPr="00394C86">
        <w:rPr>
          <w:rFonts w:eastAsia="SimSun"/>
          <w:color w:val="3C3C3C"/>
        </w:rPr>
        <w:t xml:space="preserve">will </w:t>
      </w:r>
      <w:r w:rsidRPr="00394C86">
        <w:rPr>
          <w:rFonts w:eastAsia="SimSun"/>
          <w:color w:val="3C3C3C"/>
        </w:rPr>
        <w:t xml:space="preserve">be funded from the </w:t>
      </w:r>
      <w:r w:rsidR="001B44A2" w:rsidRPr="00394C86">
        <w:rPr>
          <w:rFonts w:eastAsia="SimSun"/>
          <w:color w:val="3C3C3C"/>
        </w:rPr>
        <w:t>AHP SU</w:t>
      </w:r>
      <w:r w:rsidRPr="00394C86">
        <w:rPr>
          <w:rFonts w:eastAsia="SimSun"/>
          <w:color w:val="3C3C3C"/>
        </w:rPr>
        <w:t xml:space="preserve"> management budget.</w:t>
      </w:r>
      <w:r w:rsidR="00921E6E">
        <w:rPr>
          <w:rFonts w:eastAsia="SimSun"/>
          <w:color w:val="3C3C3C"/>
        </w:rPr>
        <w:br/>
      </w:r>
      <w:r w:rsidR="00921E6E">
        <w:rPr>
          <w:rFonts w:eastAsia="SimSun"/>
          <w:color w:val="3C3C3C"/>
        </w:rPr>
        <w:br/>
      </w:r>
      <w:r w:rsidRPr="00394C86">
        <w:rPr>
          <w:rFonts w:eastAsia="SimSun"/>
          <w:color w:val="3C3C3C"/>
        </w:rPr>
        <w:t xml:space="preserve">An annual </w:t>
      </w:r>
      <w:r w:rsidRPr="00394C86">
        <w:rPr>
          <w:rFonts w:eastAsia="SimSun"/>
          <w:b/>
          <w:color w:val="3C3C3C"/>
        </w:rPr>
        <w:t>small-scale evaluation</w:t>
      </w:r>
      <w:r w:rsidRPr="00394C86">
        <w:rPr>
          <w:rFonts w:eastAsia="SimSun"/>
          <w:color w:val="3C3C3C"/>
        </w:rPr>
        <w:t xml:space="preserve"> will be conducted. This </w:t>
      </w:r>
      <w:r w:rsidR="00073268" w:rsidRPr="00394C86">
        <w:rPr>
          <w:rFonts w:eastAsia="SimSun"/>
          <w:color w:val="3C3C3C"/>
        </w:rPr>
        <w:t xml:space="preserve">evaluation could </w:t>
      </w:r>
      <w:r w:rsidRPr="00394C86">
        <w:rPr>
          <w:rFonts w:eastAsia="SimSun"/>
          <w:color w:val="3C3C3C"/>
        </w:rPr>
        <w:t xml:space="preserve">be on a thematic topic (e.g. disability inclusion or gender equality) or </w:t>
      </w:r>
      <w:r w:rsidR="00073268" w:rsidRPr="00394C86">
        <w:rPr>
          <w:rFonts w:eastAsia="SimSun"/>
          <w:color w:val="3C3C3C"/>
        </w:rPr>
        <w:t xml:space="preserve">it </w:t>
      </w:r>
      <w:r w:rsidR="00172704" w:rsidRPr="00394C86">
        <w:rPr>
          <w:rFonts w:eastAsia="SimSun"/>
          <w:color w:val="3C3C3C"/>
        </w:rPr>
        <w:t>could</w:t>
      </w:r>
      <w:r w:rsidR="00073268" w:rsidRPr="00394C86">
        <w:rPr>
          <w:rFonts w:eastAsia="SimSun"/>
          <w:color w:val="3C3C3C"/>
        </w:rPr>
        <w:t xml:space="preserve"> </w:t>
      </w:r>
      <w:r w:rsidRPr="00394C86">
        <w:rPr>
          <w:rFonts w:eastAsia="SimSun"/>
          <w:color w:val="3C3C3C"/>
        </w:rPr>
        <w:t xml:space="preserve">be used opportunistically to evaluate the response to a moderate or significant disaster in one of the five priority countries to assess the impact of the preparedness work. Country </w:t>
      </w:r>
      <w:r w:rsidR="00172704" w:rsidRPr="00394C86">
        <w:rPr>
          <w:rFonts w:eastAsia="SimSun"/>
          <w:color w:val="3C3C3C"/>
        </w:rPr>
        <w:t>C</w:t>
      </w:r>
      <w:r w:rsidRPr="00394C86">
        <w:rPr>
          <w:rFonts w:eastAsia="SimSun"/>
          <w:color w:val="3C3C3C"/>
        </w:rPr>
        <w:t>ommittees in a country which ha</w:t>
      </w:r>
      <w:r w:rsidR="00447A65" w:rsidRPr="00394C86">
        <w:rPr>
          <w:rFonts w:eastAsia="SimSun"/>
          <w:color w:val="3C3C3C"/>
        </w:rPr>
        <w:t>s</w:t>
      </w:r>
      <w:r w:rsidRPr="00394C86">
        <w:rPr>
          <w:rFonts w:eastAsia="SimSun"/>
          <w:color w:val="3C3C3C"/>
        </w:rPr>
        <w:t xml:space="preserve"> experienced a disaster </w:t>
      </w:r>
      <w:r w:rsidR="00172704" w:rsidRPr="00394C86">
        <w:rPr>
          <w:rFonts w:eastAsia="SimSun"/>
          <w:color w:val="3C3C3C"/>
        </w:rPr>
        <w:t xml:space="preserve">will </w:t>
      </w:r>
      <w:r w:rsidRPr="00394C86">
        <w:rPr>
          <w:rFonts w:eastAsia="SimSun"/>
          <w:color w:val="3C3C3C"/>
        </w:rPr>
        <w:t xml:space="preserve">also be </w:t>
      </w:r>
      <w:r w:rsidRPr="00394C86">
        <w:rPr>
          <w:rFonts w:eastAsia="SimSun"/>
          <w:color w:val="3C3C3C"/>
        </w:rPr>
        <w:lastRenderedPageBreak/>
        <w:t>encouraged to reflect on the extent to which their preparedness work had contributed to a more inclusive</w:t>
      </w:r>
      <w:r w:rsidR="00447A65" w:rsidRPr="00394C86">
        <w:rPr>
          <w:rFonts w:eastAsia="SimSun"/>
          <w:color w:val="3C3C3C"/>
        </w:rPr>
        <w:t xml:space="preserve"> and</w:t>
      </w:r>
      <w:r w:rsidRPr="00394C86">
        <w:rPr>
          <w:rFonts w:eastAsia="SimSun"/>
          <w:color w:val="3C3C3C"/>
        </w:rPr>
        <w:t xml:space="preserve"> effective response</w:t>
      </w:r>
      <w:r w:rsidR="00447A65" w:rsidRPr="00394C86">
        <w:rPr>
          <w:rFonts w:eastAsia="SimSun"/>
          <w:color w:val="3C3C3C"/>
        </w:rPr>
        <w:t xml:space="preserve"> as well as what </w:t>
      </w:r>
      <w:r w:rsidRPr="00394C86">
        <w:rPr>
          <w:rFonts w:eastAsia="SimSun"/>
          <w:color w:val="3C3C3C"/>
        </w:rPr>
        <w:t xml:space="preserve">improvements </w:t>
      </w:r>
      <w:r w:rsidR="00447A65" w:rsidRPr="00394C86">
        <w:rPr>
          <w:rFonts w:eastAsia="SimSun"/>
          <w:color w:val="3C3C3C"/>
        </w:rPr>
        <w:t xml:space="preserve">may be </w:t>
      </w:r>
      <w:r w:rsidRPr="00394C86">
        <w:rPr>
          <w:rFonts w:eastAsia="SimSun"/>
          <w:color w:val="3C3C3C"/>
        </w:rPr>
        <w:t xml:space="preserve">needed. The focus and terms of reference for the annual evaluation would be identified by the Steering Committee. The evaluations </w:t>
      </w:r>
      <w:r w:rsidR="00172704" w:rsidRPr="00394C86">
        <w:rPr>
          <w:rFonts w:eastAsia="SimSun"/>
          <w:color w:val="3C3C3C"/>
        </w:rPr>
        <w:t xml:space="preserve">will </w:t>
      </w:r>
      <w:r w:rsidRPr="00394C86">
        <w:rPr>
          <w:rFonts w:eastAsia="SimSun"/>
          <w:color w:val="3C3C3C"/>
        </w:rPr>
        <w:t xml:space="preserve">be funded from the </w:t>
      </w:r>
      <w:r w:rsidR="001B44A2" w:rsidRPr="00394C86">
        <w:rPr>
          <w:rFonts w:eastAsia="SimSun"/>
          <w:color w:val="3C3C3C"/>
        </w:rPr>
        <w:t>AHP SU</w:t>
      </w:r>
      <w:r w:rsidRPr="00394C86">
        <w:rPr>
          <w:rFonts w:eastAsia="SimSun"/>
          <w:color w:val="3C3C3C"/>
        </w:rPr>
        <w:t xml:space="preserve"> management budget. The budget for these evaluations is modest</w:t>
      </w:r>
      <w:r w:rsidR="00172704" w:rsidRPr="00394C86">
        <w:rPr>
          <w:rFonts w:eastAsia="SimSun"/>
          <w:color w:val="3C3C3C"/>
        </w:rPr>
        <w:t xml:space="preserve">: </w:t>
      </w:r>
      <w:r w:rsidRPr="00394C86">
        <w:rPr>
          <w:rFonts w:eastAsia="SimSun"/>
          <w:color w:val="3C3C3C"/>
        </w:rPr>
        <w:t xml:space="preserve">two evaluations </w:t>
      </w:r>
      <w:r w:rsidR="00172704" w:rsidRPr="00394C86">
        <w:rPr>
          <w:rFonts w:eastAsia="SimSun"/>
          <w:color w:val="3C3C3C"/>
        </w:rPr>
        <w:t xml:space="preserve">will </w:t>
      </w:r>
      <w:r w:rsidRPr="00394C86">
        <w:rPr>
          <w:rFonts w:eastAsia="SimSun"/>
          <w:color w:val="3C3C3C"/>
        </w:rPr>
        <w:t xml:space="preserve">be desk-based, while the other two </w:t>
      </w:r>
      <w:r w:rsidR="00172704" w:rsidRPr="00394C86">
        <w:rPr>
          <w:rFonts w:eastAsia="SimSun"/>
          <w:color w:val="3C3C3C"/>
        </w:rPr>
        <w:t xml:space="preserve">will </w:t>
      </w:r>
      <w:r w:rsidRPr="00394C86">
        <w:rPr>
          <w:rFonts w:eastAsia="SimSun"/>
          <w:color w:val="3C3C3C"/>
        </w:rPr>
        <w:t>have a small budget for some field assessment.</w:t>
      </w:r>
      <w:r w:rsidR="00921E6E">
        <w:rPr>
          <w:rFonts w:eastAsia="SimSun"/>
          <w:color w:val="3C3C3C"/>
        </w:rPr>
        <w:br/>
      </w:r>
      <w:r w:rsidR="00921E6E">
        <w:rPr>
          <w:rFonts w:eastAsia="SimSun"/>
          <w:color w:val="3C3C3C"/>
        </w:rPr>
        <w:br/>
      </w:r>
      <w:r w:rsidRPr="00394C86">
        <w:rPr>
          <w:rFonts w:eastAsia="SimSun"/>
          <w:color w:val="3C3C3C"/>
        </w:rPr>
        <w:t xml:space="preserve">On an annual basis, the </w:t>
      </w:r>
      <w:r w:rsidRPr="00394C86">
        <w:rPr>
          <w:rFonts w:eastAsia="SimSun"/>
          <w:b/>
          <w:color w:val="3C3C3C"/>
        </w:rPr>
        <w:t>Steering Committee will review the effectiveness of the management approaches</w:t>
      </w:r>
      <w:r w:rsidR="00172704" w:rsidRPr="00B243F3">
        <w:rPr>
          <w:rFonts w:eastAsia="SimSun"/>
          <w:color w:val="3C3C3C"/>
        </w:rPr>
        <w:t>,</w:t>
      </w:r>
      <w:r w:rsidRPr="00394C86">
        <w:rPr>
          <w:rFonts w:eastAsia="SimSun"/>
          <w:b/>
          <w:color w:val="3C3C3C"/>
        </w:rPr>
        <w:t xml:space="preserve"> </w:t>
      </w:r>
      <w:r w:rsidRPr="00394C86">
        <w:rPr>
          <w:rFonts w:eastAsia="SimSun"/>
          <w:color w:val="3C3C3C"/>
        </w:rPr>
        <w:t>including engagement by DFAT Posts, efficiency</w:t>
      </w:r>
      <w:r w:rsidR="00172704" w:rsidRPr="00394C86">
        <w:rPr>
          <w:rFonts w:eastAsia="SimSun"/>
          <w:color w:val="3C3C3C"/>
        </w:rPr>
        <w:t>,</w:t>
      </w:r>
      <w:r w:rsidRPr="00394C86">
        <w:rPr>
          <w:rFonts w:eastAsia="SimSun"/>
          <w:color w:val="3C3C3C"/>
        </w:rPr>
        <w:t xml:space="preserve"> and </w:t>
      </w:r>
      <w:r w:rsidR="00172704" w:rsidRPr="00394C86">
        <w:rPr>
          <w:rFonts w:eastAsia="SimSun"/>
          <w:color w:val="3C3C3C"/>
        </w:rPr>
        <w:t xml:space="preserve">the </w:t>
      </w:r>
      <w:r w:rsidRPr="00394C86">
        <w:rPr>
          <w:rFonts w:eastAsia="SimSun"/>
          <w:color w:val="3C3C3C"/>
        </w:rPr>
        <w:t>value</w:t>
      </w:r>
      <w:r w:rsidR="00172704" w:rsidRPr="00394C86">
        <w:rPr>
          <w:rFonts w:eastAsia="SimSun"/>
          <w:color w:val="3C3C3C"/>
        </w:rPr>
        <w:t>-</w:t>
      </w:r>
      <w:r w:rsidRPr="00394C86">
        <w:rPr>
          <w:rFonts w:eastAsia="SimSun"/>
          <w:color w:val="3C3C3C"/>
        </w:rPr>
        <w:t xml:space="preserve">add of the Steering Committee, </w:t>
      </w:r>
      <w:r w:rsidR="00172704" w:rsidRPr="00394C86">
        <w:rPr>
          <w:rFonts w:eastAsia="SimSun"/>
          <w:color w:val="3C3C3C"/>
        </w:rPr>
        <w:t>C</w:t>
      </w:r>
      <w:r w:rsidRPr="00394C86">
        <w:rPr>
          <w:rFonts w:eastAsia="SimSun"/>
          <w:color w:val="3C3C3C"/>
        </w:rPr>
        <w:t xml:space="preserve">ountry </w:t>
      </w:r>
      <w:r w:rsidR="00172704" w:rsidRPr="00394C86">
        <w:rPr>
          <w:rFonts w:eastAsia="SimSun"/>
          <w:color w:val="3C3C3C"/>
        </w:rPr>
        <w:t>C</w:t>
      </w:r>
      <w:r w:rsidRPr="00394C86">
        <w:rPr>
          <w:rFonts w:eastAsia="SimSun"/>
          <w:color w:val="3C3C3C"/>
        </w:rPr>
        <w:t xml:space="preserve">ommittees and the SU. </w:t>
      </w:r>
      <w:r w:rsidR="00921E6E">
        <w:rPr>
          <w:rFonts w:eastAsia="SimSun"/>
          <w:color w:val="3C3C3C"/>
        </w:rPr>
        <w:br/>
      </w:r>
      <w:r w:rsidR="00921E6E">
        <w:rPr>
          <w:rFonts w:eastAsia="SimSun"/>
          <w:color w:val="3C3C3C"/>
        </w:rPr>
        <w:br/>
      </w:r>
      <w:r w:rsidRPr="00394C86">
        <w:rPr>
          <w:rFonts w:eastAsia="SimSun"/>
          <w:color w:val="3C3C3C"/>
        </w:rPr>
        <w:t xml:space="preserve">Periodic </w:t>
      </w:r>
      <w:r w:rsidRPr="00394C86">
        <w:rPr>
          <w:rFonts w:eastAsia="SimSun"/>
          <w:b/>
          <w:color w:val="3C3C3C"/>
        </w:rPr>
        <w:t>monitoring</w:t>
      </w:r>
      <w:r w:rsidRPr="00394C86">
        <w:rPr>
          <w:rFonts w:eastAsia="SimSun"/>
          <w:color w:val="3C3C3C"/>
        </w:rPr>
        <w:t xml:space="preserve"> of program implementation will also be undertaken by either DFAT HRS or DFAT Post. Monitoring by DFAT HRS </w:t>
      </w:r>
      <w:r w:rsidR="00172704" w:rsidRPr="00394C86">
        <w:rPr>
          <w:rFonts w:eastAsia="SimSun"/>
          <w:color w:val="3C3C3C"/>
        </w:rPr>
        <w:t xml:space="preserve">will </w:t>
      </w:r>
      <w:r w:rsidRPr="00394C86">
        <w:rPr>
          <w:rFonts w:eastAsia="SimSun"/>
          <w:color w:val="3C3C3C"/>
        </w:rPr>
        <w:t xml:space="preserve">be combined with other visits to the priority countries to ensure efficient use of resources. A simple monitoring tool will be developed by the AHP SU to guide the focus of data collection.   </w:t>
      </w:r>
      <w:r w:rsidR="00921E6E">
        <w:rPr>
          <w:rFonts w:eastAsia="SimSun"/>
          <w:color w:val="3C3C3C"/>
        </w:rPr>
        <w:br/>
      </w:r>
      <w:r w:rsidR="00921E6E">
        <w:rPr>
          <w:rFonts w:eastAsia="SimSun"/>
          <w:color w:val="3C3C3C"/>
        </w:rPr>
        <w:br/>
      </w:r>
      <w:r w:rsidRPr="00394C86">
        <w:rPr>
          <w:rFonts w:eastAsia="SimSun"/>
          <w:color w:val="3C3C3C"/>
        </w:rPr>
        <w:t xml:space="preserve">In </w:t>
      </w:r>
      <w:r w:rsidR="004E09BA" w:rsidRPr="00394C86">
        <w:rPr>
          <w:rFonts w:eastAsia="SimSun"/>
          <w:color w:val="3C3C3C"/>
        </w:rPr>
        <w:t>Year 4</w:t>
      </w:r>
      <w:r w:rsidRPr="00394C86">
        <w:rPr>
          <w:rFonts w:eastAsia="SimSun"/>
          <w:color w:val="3C3C3C"/>
        </w:rPr>
        <w:t xml:space="preserve"> of the program (2021)</w:t>
      </w:r>
      <w:r w:rsidR="00172704" w:rsidRPr="00394C86">
        <w:rPr>
          <w:rFonts w:eastAsia="SimSun"/>
          <w:color w:val="3C3C3C"/>
        </w:rPr>
        <w:t>,</w:t>
      </w:r>
      <w:r w:rsidRPr="00394C86">
        <w:rPr>
          <w:rFonts w:eastAsia="SimSun"/>
          <w:color w:val="3C3C3C"/>
        </w:rPr>
        <w:t xml:space="preserve"> DFAT will commission an </w:t>
      </w:r>
      <w:r w:rsidRPr="00394C86">
        <w:rPr>
          <w:rFonts w:eastAsia="SimSun"/>
          <w:b/>
          <w:color w:val="3C3C3C"/>
        </w:rPr>
        <w:t>independent evaluation</w:t>
      </w:r>
      <w:r w:rsidRPr="00394C86">
        <w:rPr>
          <w:rFonts w:eastAsia="SimSun"/>
          <w:color w:val="3C3C3C"/>
        </w:rPr>
        <w:t xml:space="preserve"> of the overarching Disaster READY program. This assessment </w:t>
      </w:r>
      <w:r w:rsidR="00172704" w:rsidRPr="00394C86">
        <w:rPr>
          <w:rFonts w:eastAsia="SimSun"/>
          <w:color w:val="3C3C3C"/>
        </w:rPr>
        <w:t xml:space="preserve">will </w:t>
      </w:r>
      <w:r w:rsidRPr="00394C86">
        <w:rPr>
          <w:rFonts w:eastAsia="SimSun"/>
          <w:color w:val="3C3C3C"/>
        </w:rPr>
        <w:t>inform the design of phase two of the program (2022–2027). The T</w:t>
      </w:r>
      <w:r w:rsidR="00172704" w:rsidRPr="00394C86">
        <w:rPr>
          <w:rFonts w:eastAsia="SimSun"/>
          <w:color w:val="3C3C3C"/>
        </w:rPr>
        <w:t xml:space="preserve">erms of </w:t>
      </w:r>
      <w:r w:rsidRPr="00394C86">
        <w:rPr>
          <w:rFonts w:eastAsia="SimSun"/>
          <w:color w:val="3C3C3C"/>
        </w:rPr>
        <w:t>R</w:t>
      </w:r>
      <w:r w:rsidR="00172704" w:rsidRPr="00394C86">
        <w:rPr>
          <w:rFonts w:eastAsia="SimSun"/>
          <w:color w:val="3C3C3C"/>
        </w:rPr>
        <w:t>eference</w:t>
      </w:r>
      <w:r w:rsidRPr="00394C86">
        <w:rPr>
          <w:rFonts w:eastAsia="SimSun"/>
          <w:color w:val="3C3C3C"/>
        </w:rPr>
        <w:t xml:space="preserve"> </w:t>
      </w:r>
      <w:r w:rsidR="00172704" w:rsidRPr="00394C86">
        <w:rPr>
          <w:rFonts w:eastAsia="SimSun"/>
          <w:color w:val="3C3C3C"/>
        </w:rPr>
        <w:t xml:space="preserve">will </w:t>
      </w:r>
      <w:r w:rsidRPr="00394C86">
        <w:rPr>
          <w:rFonts w:eastAsia="SimSun"/>
          <w:color w:val="3C3C3C"/>
        </w:rPr>
        <w:t xml:space="preserve">be developed and the evaluation team members </w:t>
      </w:r>
      <w:r w:rsidR="00447A65" w:rsidRPr="00394C86">
        <w:rPr>
          <w:rFonts w:eastAsia="SimSun"/>
          <w:color w:val="3C3C3C"/>
        </w:rPr>
        <w:t xml:space="preserve">will be </w:t>
      </w:r>
      <w:r w:rsidRPr="00394C86">
        <w:rPr>
          <w:rFonts w:eastAsia="SimSun"/>
          <w:color w:val="3C3C3C"/>
        </w:rPr>
        <w:t xml:space="preserve">selected in consultation with the </w:t>
      </w:r>
      <w:r w:rsidR="00172704" w:rsidRPr="00394C86">
        <w:rPr>
          <w:rFonts w:eastAsia="SimSun"/>
          <w:color w:val="3C3C3C"/>
        </w:rPr>
        <w:t>S</w:t>
      </w:r>
      <w:r w:rsidRPr="00394C86">
        <w:rPr>
          <w:rFonts w:eastAsia="SimSun"/>
          <w:color w:val="3C3C3C"/>
        </w:rPr>
        <w:t xml:space="preserve">teering </w:t>
      </w:r>
      <w:r w:rsidR="00172704" w:rsidRPr="00394C86">
        <w:rPr>
          <w:rFonts w:eastAsia="SimSun"/>
          <w:color w:val="3C3C3C"/>
        </w:rPr>
        <w:t>C</w:t>
      </w:r>
      <w:r w:rsidRPr="00394C86">
        <w:rPr>
          <w:rFonts w:eastAsia="SimSun"/>
          <w:color w:val="3C3C3C"/>
        </w:rPr>
        <w:t xml:space="preserve">ommittee. An independent evaluator </w:t>
      </w:r>
      <w:r w:rsidR="005B3E97" w:rsidRPr="00394C86">
        <w:rPr>
          <w:rFonts w:eastAsia="SimSun"/>
          <w:color w:val="3C3C3C"/>
        </w:rPr>
        <w:t xml:space="preserve">will </w:t>
      </w:r>
      <w:r w:rsidRPr="00394C86">
        <w:rPr>
          <w:rFonts w:eastAsia="SimSun"/>
          <w:color w:val="3C3C3C"/>
        </w:rPr>
        <w:t>lead the review</w:t>
      </w:r>
      <w:r w:rsidRPr="00394C86">
        <w:rPr>
          <w:rFonts w:eastAsia="SimSun"/>
          <w:color w:val="3C3C3C"/>
          <w:vertAlign w:val="superscript"/>
        </w:rPr>
        <w:footnoteReference w:id="50"/>
      </w:r>
      <w:r w:rsidRPr="00394C86">
        <w:rPr>
          <w:rFonts w:eastAsia="SimSun"/>
          <w:color w:val="3C3C3C"/>
        </w:rPr>
        <w:t xml:space="preserve">. Using the evaluation questions as the framework, the evaluation </w:t>
      </w:r>
      <w:r w:rsidR="005B3E97" w:rsidRPr="00394C86">
        <w:rPr>
          <w:rFonts w:eastAsia="SimSun"/>
          <w:color w:val="3C3C3C"/>
        </w:rPr>
        <w:t xml:space="preserve">will </w:t>
      </w:r>
      <w:r w:rsidRPr="00394C86">
        <w:rPr>
          <w:rFonts w:eastAsia="SimSun"/>
          <w:color w:val="3C3C3C"/>
        </w:rPr>
        <w:t xml:space="preserve">assess whether the progress towards the objectives </w:t>
      </w:r>
      <w:r w:rsidR="005B3E97" w:rsidRPr="00394C86">
        <w:rPr>
          <w:rFonts w:eastAsia="SimSun"/>
          <w:color w:val="3C3C3C"/>
        </w:rPr>
        <w:t xml:space="preserve">was </w:t>
      </w:r>
      <w:r w:rsidRPr="00394C86">
        <w:rPr>
          <w:rFonts w:eastAsia="SimSun"/>
          <w:color w:val="3C3C3C"/>
        </w:rPr>
        <w:t>adequate, the value of the program design, and the effectiveness of the program</w:t>
      </w:r>
      <w:r w:rsidR="00447A65" w:rsidRPr="00394C86">
        <w:rPr>
          <w:rFonts w:eastAsia="SimSun"/>
          <w:color w:val="3C3C3C"/>
        </w:rPr>
        <w:t>’</w:t>
      </w:r>
      <w:r w:rsidRPr="00394C86">
        <w:rPr>
          <w:rFonts w:eastAsia="SimSun"/>
          <w:color w:val="3C3C3C"/>
        </w:rPr>
        <w:t xml:space="preserve">s management by DFAT, the </w:t>
      </w:r>
      <w:r w:rsidR="005B3E97" w:rsidRPr="00394C86">
        <w:rPr>
          <w:rFonts w:eastAsia="SimSun"/>
          <w:color w:val="3C3C3C"/>
        </w:rPr>
        <w:t>S</w:t>
      </w:r>
      <w:r w:rsidRPr="00394C86">
        <w:rPr>
          <w:rFonts w:eastAsia="SimSun"/>
          <w:color w:val="3C3C3C"/>
        </w:rPr>
        <w:t xml:space="preserve">teering </w:t>
      </w:r>
      <w:r w:rsidR="005B3E97" w:rsidRPr="00394C86">
        <w:rPr>
          <w:rFonts w:eastAsia="SimSun"/>
          <w:color w:val="3C3C3C"/>
        </w:rPr>
        <w:t>C</w:t>
      </w:r>
      <w:r w:rsidRPr="00394C86">
        <w:rPr>
          <w:rFonts w:eastAsia="SimSun"/>
          <w:color w:val="3C3C3C"/>
        </w:rPr>
        <w:t xml:space="preserve">ommittee and the </w:t>
      </w:r>
      <w:r w:rsidR="001B44A2" w:rsidRPr="00394C86">
        <w:rPr>
          <w:rFonts w:eastAsia="SimSun"/>
          <w:color w:val="3C3C3C"/>
        </w:rPr>
        <w:t>AHP SU</w:t>
      </w:r>
      <w:r w:rsidRPr="00394C86">
        <w:rPr>
          <w:rFonts w:eastAsia="SimSun"/>
          <w:color w:val="3C3C3C"/>
        </w:rPr>
        <w:t xml:space="preserve">. To ensure consistency and complementarity, the Team Leader </w:t>
      </w:r>
      <w:r w:rsidR="00447A65" w:rsidRPr="00394C86">
        <w:rPr>
          <w:rFonts w:eastAsia="SimSun"/>
          <w:color w:val="3C3C3C"/>
        </w:rPr>
        <w:t xml:space="preserve">will </w:t>
      </w:r>
      <w:r w:rsidRPr="00394C86">
        <w:rPr>
          <w:rFonts w:eastAsia="SimSun"/>
          <w:color w:val="3C3C3C"/>
        </w:rPr>
        <w:t xml:space="preserve">also be contracted prior to the evaluation to review the NGO evaluation designs which they will be required to conduct in </w:t>
      </w:r>
      <w:r w:rsidR="004E09BA" w:rsidRPr="00394C86">
        <w:rPr>
          <w:rFonts w:eastAsia="SimSun"/>
          <w:color w:val="3C3C3C"/>
        </w:rPr>
        <w:t>Year 4</w:t>
      </w:r>
      <w:r w:rsidRPr="00394C86">
        <w:rPr>
          <w:rFonts w:eastAsia="SimSun"/>
          <w:color w:val="3C3C3C"/>
        </w:rPr>
        <w:t xml:space="preserve"> of the program</w:t>
      </w:r>
      <w:r w:rsidRPr="00394C86">
        <w:rPr>
          <w:rFonts w:eastAsia="SimSun"/>
          <w:color w:val="3C3C3C"/>
          <w:vertAlign w:val="superscript"/>
        </w:rPr>
        <w:footnoteReference w:id="51"/>
      </w:r>
      <w:r w:rsidRPr="00394C86">
        <w:rPr>
          <w:rFonts w:eastAsia="SimSun"/>
          <w:color w:val="3C3C3C"/>
        </w:rPr>
        <w:t>.</w:t>
      </w:r>
      <w:r w:rsidR="00921E6E">
        <w:rPr>
          <w:rFonts w:eastAsia="SimSun"/>
          <w:b/>
          <w:color w:val="3C3C3C"/>
        </w:rPr>
        <w:br/>
      </w:r>
      <w:r w:rsidR="00921E6E">
        <w:rPr>
          <w:rFonts w:eastAsia="SimSun"/>
          <w:b/>
          <w:color w:val="3C3C3C"/>
        </w:rPr>
        <w:br/>
      </w:r>
      <w:r w:rsidRPr="00394C86">
        <w:rPr>
          <w:rFonts w:eastAsia="SimSun"/>
          <w:b/>
          <w:color w:val="3C3C3C"/>
        </w:rPr>
        <w:t>Data storage and analysis</w:t>
      </w:r>
      <w:r w:rsidR="00921E6E">
        <w:rPr>
          <w:rFonts w:eastAsia="SimSun"/>
          <w:color w:val="3C3C3C"/>
        </w:rPr>
        <w:br/>
      </w:r>
      <w:r w:rsidR="00921E6E">
        <w:rPr>
          <w:rFonts w:eastAsia="SimSun"/>
          <w:color w:val="3C3C3C"/>
        </w:rPr>
        <w:br/>
      </w:r>
      <w:r w:rsidRPr="00394C86">
        <w:rPr>
          <w:rFonts w:eastAsia="SimSun"/>
          <w:color w:val="3C3C3C"/>
        </w:rPr>
        <w:t xml:space="preserve">The </w:t>
      </w:r>
      <w:r w:rsidR="001B44A2" w:rsidRPr="00394C86">
        <w:rPr>
          <w:rFonts w:eastAsia="SimSun"/>
          <w:color w:val="3C3C3C"/>
        </w:rPr>
        <w:t>AHP SU</w:t>
      </w:r>
      <w:r w:rsidRPr="00394C86">
        <w:rPr>
          <w:rFonts w:eastAsia="SimSun"/>
          <w:color w:val="3C3C3C"/>
        </w:rPr>
        <w:t xml:space="preserve"> will develop a suitable platform where data can be stored and readily accessible to DFAT and NGO partners. This </w:t>
      </w:r>
      <w:r w:rsidR="005B3E97" w:rsidRPr="00394C86">
        <w:rPr>
          <w:rFonts w:eastAsia="SimSun"/>
          <w:color w:val="3C3C3C"/>
        </w:rPr>
        <w:t xml:space="preserve">will </w:t>
      </w:r>
      <w:r w:rsidRPr="00394C86">
        <w:rPr>
          <w:rFonts w:eastAsia="SimSun"/>
          <w:color w:val="3C3C3C"/>
        </w:rPr>
        <w:t xml:space="preserve">likely be a simple web-based system </w:t>
      </w:r>
      <w:r w:rsidR="005B3E97" w:rsidRPr="00394C86">
        <w:rPr>
          <w:rFonts w:eastAsia="SimSun"/>
          <w:color w:val="3C3C3C"/>
        </w:rPr>
        <w:t xml:space="preserve">to which </w:t>
      </w:r>
      <w:r w:rsidRPr="00394C86">
        <w:rPr>
          <w:rFonts w:eastAsia="SimSun"/>
          <w:color w:val="3C3C3C"/>
        </w:rPr>
        <w:t>NGOs</w:t>
      </w:r>
      <w:r w:rsidR="005B3E97" w:rsidRPr="00394C86">
        <w:rPr>
          <w:rFonts w:eastAsia="SimSun"/>
          <w:color w:val="3C3C3C"/>
        </w:rPr>
        <w:t xml:space="preserve"> will</w:t>
      </w:r>
      <w:r w:rsidRPr="00394C86">
        <w:rPr>
          <w:rFonts w:eastAsia="SimSun"/>
          <w:color w:val="3C3C3C"/>
        </w:rPr>
        <w:t xml:space="preserve"> upload their results on an annual basis. This system </w:t>
      </w:r>
      <w:r w:rsidR="005B3E97" w:rsidRPr="00394C86">
        <w:rPr>
          <w:rFonts w:eastAsia="SimSun"/>
          <w:color w:val="3C3C3C"/>
        </w:rPr>
        <w:t xml:space="preserve">will </w:t>
      </w:r>
      <w:r w:rsidRPr="00394C86">
        <w:rPr>
          <w:rFonts w:eastAsia="SimSun"/>
          <w:color w:val="3C3C3C"/>
        </w:rPr>
        <w:t>be developed by July 2018 and piloted prior to its use in October</w:t>
      </w:r>
      <w:r w:rsidR="005B3E97" w:rsidRPr="00394C86">
        <w:rPr>
          <w:rFonts w:eastAsia="SimSun"/>
          <w:color w:val="3C3C3C"/>
        </w:rPr>
        <w:t xml:space="preserve"> 2018</w:t>
      </w:r>
      <w:r w:rsidRPr="00394C86">
        <w:rPr>
          <w:rFonts w:eastAsia="SimSun"/>
          <w:color w:val="3C3C3C"/>
        </w:rPr>
        <w:t xml:space="preserve"> (</w:t>
      </w:r>
      <w:r w:rsidR="005B3E97" w:rsidRPr="00394C86">
        <w:rPr>
          <w:rFonts w:eastAsia="SimSun"/>
          <w:color w:val="3C3C3C"/>
        </w:rPr>
        <w:t>at which time</w:t>
      </w:r>
      <w:r w:rsidRPr="00394C86">
        <w:rPr>
          <w:rFonts w:eastAsia="SimSun"/>
          <w:color w:val="3C3C3C"/>
        </w:rPr>
        <w:t xml:space="preserve"> the NGOs </w:t>
      </w:r>
      <w:r w:rsidR="005B3E97" w:rsidRPr="00394C86">
        <w:rPr>
          <w:rFonts w:eastAsia="SimSun"/>
          <w:color w:val="3C3C3C"/>
        </w:rPr>
        <w:t xml:space="preserve">will </w:t>
      </w:r>
      <w:r w:rsidRPr="00394C86">
        <w:rPr>
          <w:rFonts w:eastAsia="SimSun"/>
          <w:color w:val="3C3C3C"/>
        </w:rPr>
        <w:t>provide their annual reports).</w:t>
      </w:r>
      <w:r w:rsidR="00921E6E">
        <w:rPr>
          <w:rFonts w:eastAsia="SimSun"/>
          <w:b/>
          <w:color w:val="3C3C3C"/>
        </w:rPr>
        <w:br/>
      </w:r>
      <w:r w:rsidR="00921E6E">
        <w:rPr>
          <w:rFonts w:eastAsia="SimSun"/>
          <w:b/>
          <w:color w:val="3C3C3C"/>
        </w:rPr>
        <w:br/>
      </w:r>
      <w:r w:rsidRPr="00394C86">
        <w:rPr>
          <w:rFonts w:eastAsia="SimSun"/>
          <w:b/>
          <w:color w:val="3C3C3C"/>
        </w:rPr>
        <w:t>Reporting</w:t>
      </w:r>
      <w:r w:rsidR="00921E6E">
        <w:rPr>
          <w:rFonts w:eastAsia="SimSun"/>
          <w:color w:val="3C3C3C"/>
        </w:rPr>
        <w:br/>
      </w:r>
      <w:r w:rsidR="00921E6E">
        <w:rPr>
          <w:rFonts w:eastAsia="SimSun"/>
          <w:color w:val="3C3C3C"/>
        </w:rPr>
        <w:br/>
      </w:r>
      <w:r w:rsidRPr="00394C86">
        <w:rPr>
          <w:rFonts w:eastAsia="SimSun"/>
          <w:color w:val="3C3C3C"/>
        </w:rPr>
        <w:t>The AHP SU will provide an annual consolidated report to DFAT (and other stakeholders) to inform DFAT’s annual quality check process. This will be structured against the key evaluation questions. The annual report will be compiled in February</w:t>
      </w:r>
      <w:r w:rsidR="00C20255" w:rsidRPr="00394C86">
        <w:rPr>
          <w:rFonts w:eastAsia="SimSun"/>
          <w:color w:val="3C3C3C"/>
        </w:rPr>
        <w:t xml:space="preserve">. It </w:t>
      </w:r>
      <w:r w:rsidRPr="00394C86">
        <w:rPr>
          <w:rFonts w:eastAsia="SimSun"/>
          <w:color w:val="3C3C3C"/>
        </w:rPr>
        <w:t xml:space="preserve">will be informed by the NGOs’ annual review of progress </w:t>
      </w:r>
      <w:r w:rsidRPr="00394C86">
        <w:rPr>
          <w:rFonts w:eastAsia="SimSun"/>
          <w:color w:val="3C3C3C"/>
        </w:rPr>
        <w:lastRenderedPageBreak/>
        <w:t>against their designs (provided in October and updated in mid</w:t>
      </w:r>
      <w:r w:rsidR="005B3E97" w:rsidRPr="00394C86">
        <w:rPr>
          <w:rFonts w:eastAsia="SimSun"/>
          <w:color w:val="3C3C3C"/>
        </w:rPr>
        <w:t>-</w:t>
      </w:r>
      <w:r w:rsidRPr="00394C86">
        <w:rPr>
          <w:rFonts w:eastAsia="SimSun"/>
          <w:color w:val="3C3C3C"/>
        </w:rPr>
        <w:t>February). A range of additional communication products will be produced</w:t>
      </w:r>
      <w:r w:rsidR="00C20255" w:rsidRPr="00394C86">
        <w:rPr>
          <w:rFonts w:eastAsia="SimSun"/>
          <w:color w:val="3C3C3C"/>
        </w:rPr>
        <w:t>,</w:t>
      </w:r>
      <w:r w:rsidRPr="00394C86">
        <w:rPr>
          <w:rFonts w:eastAsia="SimSun"/>
          <w:color w:val="3C3C3C"/>
        </w:rPr>
        <w:t xml:space="preserve"> as discussed under the communications section in the design.</w:t>
      </w:r>
      <w:r w:rsidR="00921E6E">
        <w:rPr>
          <w:rFonts w:eastAsia="SimSun"/>
          <w:color w:val="3C3C3C"/>
        </w:rPr>
        <w:br/>
      </w:r>
    </w:p>
    <w:p w14:paraId="027570F7" w14:textId="0FEFB465" w:rsidR="006734E5" w:rsidRPr="00B243F3" w:rsidRDefault="006734E5" w:rsidP="009603A4">
      <w:pPr>
        <w:pStyle w:val="Heading2"/>
        <w:rPr>
          <w:rFonts w:ascii="Calibri" w:hAnsi="Calibri" w:cs="Calibri"/>
        </w:rPr>
      </w:pPr>
      <w:bookmarkStart w:id="44" w:name="_Toc499652284"/>
      <w:bookmarkStart w:id="45" w:name="_Toc501451680"/>
      <w:r w:rsidRPr="00B243F3">
        <w:rPr>
          <w:rFonts w:ascii="Calibri" w:hAnsi="Calibri" w:cs="Calibri"/>
        </w:rPr>
        <w:t>Country Level</w:t>
      </w:r>
      <w:bookmarkEnd w:id="44"/>
      <w:bookmarkEnd w:id="45"/>
    </w:p>
    <w:p w14:paraId="25FEB21E" w14:textId="77777777" w:rsidR="00B243F3" w:rsidRDefault="006734E5" w:rsidP="00B243F3">
      <w:pPr>
        <w:spacing w:after="0" w:line="240" w:lineRule="auto"/>
        <w:rPr>
          <w:rFonts w:eastAsia="SimSun"/>
          <w:color w:val="3C3C3C"/>
        </w:rPr>
      </w:pPr>
      <w:r w:rsidRPr="00394C86">
        <w:rPr>
          <w:rFonts w:eastAsia="SimSun"/>
          <w:b/>
          <w:color w:val="3C3C3C"/>
        </w:rPr>
        <w:t>Lead responsibility</w:t>
      </w:r>
      <w:r w:rsidR="00921E6E">
        <w:rPr>
          <w:rFonts w:eastAsia="Times New Roman"/>
          <w:color w:val="3C3C3C"/>
        </w:rPr>
        <w:br/>
      </w:r>
      <w:r w:rsidR="00921E6E">
        <w:rPr>
          <w:rFonts w:eastAsia="Times New Roman"/>
          <w:color w:val="3C3C3C"/>
        </w:rPr>
        <w:br/>
      </w:r>
      <w:r w:rsidRPr="00394C86">
        <w:rPr>
          <w:rFonts w:eastAsia="Times New Roman"/>
          <w:color w:val="3C3C3C"/>
        </w:rPr>
        <w:t>Country</w:t>
      </w:r>
      <w:r w:rsidR="00C20255" w:rsidRPr="00394C86">
        <w:rPr>
          <w:rFonts w:eastAsia="Times New Roman"/>
          <w:color w:val="3C3C3C"/>
        </w:rPr>
        <w:t>-</w:t>
      </w:r>
      <w:r w:rsidRPr="00394C86">
        <w:rPr>
          <w:rFonts w:eastAsia="Times New Roman"/>
          <w:color w:val="3C3C3C"/>
        </w:rPr>
        <w:t xml:space="preserve">level M&amp;E will be led by the coordinating lead NGO for each </w:t>
      </w:r>
      <w:r w:rsidR="005B3E97" w:rsidRPr="00394C86">
        <w:rPr>
          <w:rFonts w:eastAsia="Times New Roman"/>
          <w:color w:val="3C3C3C"/>
        </w:rPr>
        <w:t>C</w:t>
      </w:r>
      <w:r w:rsidRPr="00394C86">
        <w:rPr>
          <w:rFonts w:eastAsia="Times New Roman"/>
          <w:color w:val="3C3C3C"/>
        </w:rPr>
        <w:t xml:space="preserve">ountry </w:t>
      </w:r>
      <w:r w:rsidR="005B3E97" w:rsidRPr="00394C86">
        <w:rPr>
          <w:rFonts w:eastAsia="Times New Roman"/>
          <w:color w:val="3C3C3C"/>
        </w:rPr>
        <w:t>C</w:t>
      </w:r>
      <w:r w:rsidRPr="00394C86">
        <w:rPr>
          <w:rFonts w:eastAsia="Times New Roman"/>
          <w:color w:val="3C3C3C"/>
        </w:rPr>
        <w:t xml:space="preserve">ommittee with assistance from the </w:t>
      </w:r>
      <w:r w:rsidR="001B44A2" w:rsidRPr="00394C86">
        <w:rPr>
          <w:rFonts w:eastAsia="Times New Roman"/>
          <w:color w:val="3C3C3C"/>
        </w:rPr>
        <w:t>AHP SU</w:t>
      </w:r>
      <w:r w:rsidRPr="00394C86">
        <w:rPr>
          <w:rFonts w:eastAsia="Times New Roman"/>
          <w:color w:val="3C3C3C"/>
        </w:rPr>
        <w:t>.</w:t>
      </w:r>
      <w:r w:rsidR="00921E6E">
        <w:rPr>
          <w:rFonts w:eastAsia="SimSun"/>
          <w:b/>
          <w:color w:val="3C3C3C"/>
        </w:rPr>
        <w:br/>
      </w:r>
      <w:r w:rsidR="00921E6E">
        <w:rPr>
          <w:rFonts w:eastAsia="SimSun"/>
          <w:b/>
          <w:color w:val="3C3C3C"/>
        </w:rPr>
        <w:br/>
      </w:r>
      <w:r w:rsidRPr="00394C86">
        <w:rPr>
          <w:rFonts w:eastAsia="SimSun"/>
          <w:b/>
          <w:color w:val="3C3C3C"/>
        </w:rPr>
        <w:t xml:space="preserve">Where the data </w:t>
      </w:r>
      <w:r w:rsidR="00C20255" w:rsidRPr="00394C86">
        <w:rPr>
          <w:rFonts w:eastAsia="SimSun"/>
          <w:b/>
          <w:color w:val="3C3C3C"/>
        </w:rPr>
        <w:t xml:space="preserve">will </w:t>
      </w:r>
      <w:r w:rsidRPr="00394C86">
        <w:rPr>
          <w:rFonts w:eastAsia="SimSun"/>
          <w:b/>
          <w:color w:val="3C3C3C"/>
        </w:rPr>
        <w:t>come from</w:t>
      </w:r>
      <w:r w:rsidR="00921E6E">
        <w:rPr>
          <w:rFonts w:eastAsia="SimSun"/>
          <w:color w:val="3C3C3C"/>
        </w:rPr>
        <w:br/>
      </w:r>
      <w:r w:rsidR="00921E6E">
        <w:rPr>
          <w:rFonts w:eastAsia="SimSun"/>
          <w:color w:val="3C3C3C"/>
        </w:rPr>
        <w:br/>
      </w:r>
      <w:r w:rsidRPr="00394C86">
        <w:rPr>
          <w:rFonts w:eastAsia="SimSun"/>
          <w:color w:val="3C3C3C"/>
        </w:rPr>
        <w:t xml:space="preserve">The bulk of the data on the program’s performance will be collected by the NGOs through their M&amp;E systems. The NGOs in the </w:t>
      </w:r>
      <w:r w:rsidR="005B3E97" w:rsidRPr="00394C86">
        <w:rPr>
          <w:rFonts w:eastAsia="SimSun"/>
          <w:color w:val="3C3C3C"/>
        </w:rPr>
        <w:t>C</w:t>
      </w:r>
      <w:r w:rsidRPr="00394C86">
        <w:rPr>
          <w:rFonts w:eastAsia="SimSun"/>
          <w:color w:val="3C3C3C"/>
        </w:rPr>
        <w:t xml:space="preserve">ountry </w:t>
      </w:r>
      <w:r w:rsidR="005B3E97" w:rsidRPr="00394C86">
        <w:rPr>
          <w:rFonts w:eastAsia="SimSun"/>
          <w:color w:val="3C3C3C"/>
        </w:rPr>
        <w:t>C</w:t>
      </w:r>
      <w:r w:rsidRPr="00394C86">
        <w:rPr>
          <w:rFonts w:eastAsia="SimSun"/>
          <w:color w:val="3C3C3C"/>
        </w:rPr>
        <w:t xml:space="preserve">ommittees will review this performance information and assess the outcomes achieved through </w:t>
      </w:r>
      <w:r w:rsidR="00F83E02" w:rsidRPr="00394C86">
        <w:rPr>
          <w:rFonts w:eastAsia="SimSun"/>
          <w:color w:val="3C3C3C"/>
        </w:rPr>
        <w:t>shared s</w:t>
      </w:r>
      <w:r w:rsidR="00BF1A40" w:rsidRPr="00394C86">
        <w:rPr>
          <w:rFonts w:eastAsia="SimSun"/>
          <w:color w:val="3C3C3C"/>
        </w:rPr>
        <w:t>ervices</w:t>
      </w:r>
      <w:r w:rsidRPr="00394C86">
        <w:rPr>
          <w:rFonts w:eastAsia="SimSun"/>
          <w:color w:val="3C3C3C"/>
        </w:rPr>
        <w:t xml:space="preserve"> on an annual basis. In some countries, committees </w:t>
      </w:r>
      <w:r w:rsidR="005B3E97" w:rsidRPr="00394C86">
        <w:rPr>
          <w:rFonts w:eastAsia="SimSun"/>
          <w:color w:val="3C3C3C"/>
        </w:rPr>
        <w:t xml:space="preserve">could </w:t>
      </w:r>
      <w:r w:rsidRPr="00394C86">
        <w:rPr>
          <w:rFonts w:eastAsia="SimSun"/>
          <w:color w:val="3C3C3C"/>
        </w:rPr>
        <w:t xml:space="preserve">use funding from </w:t>
      </w:r>
      <w:r w:rsidR="00BF1A40" w:rsidRPr="00394C86">
        <w:rPr>
          <w:rFonts w:eastAsia="SimSun"/>
          <w:color w:val="3C3C3C"/>
        </w:rPr>
        <w:t>Shared Services</w:t>
      </w:r>
      <w:r w:rsidRPr="00394C86">
        <w:rPr>
          <w:rFonts w:eastAsia="SimSun"/>
          <w:color w:val="3C3C3C"/>
        </w:rPr>
        <w:t xml:space="preserve"> to conduct additional monitoring or research</w:t>
      </w:r>
      <w:r w:rsidR="005B3E97" w:rsidRPr="00394C86">
        <w:rPr>
          <w:rFonts w:eastAsia="SimSun"/>
          <w:color w:val="3C3C3C"/>
        </w:rPr>
        <w:t xml:space="preserve"> also</w:t>
      </w:r>
      <w:r w:rsidRPr="00394C86">
        <w:rPr>
          <w:rFonts w:eastAsia="SimSun"/>
          <w:color w:val="3C3C3C"/>
        </w:rPr>
        <w:t>.</w:t>
      </w:r>
      <w:r w:rsidR="00921E6E">
        <w:rPr>
          <w:rFonts w:eastAsia="SimSun"/>
          <w:b/>
          <w:color w:val="3C3C3C"/>
        </w:rPr>
        <w:br/>
      </w:r>
      <w:r w:rsidR="00921E6E">
        <w:rPr>
          <w:rFonts w:eastAsia="SimSun"/>
          <w:b/>
          <w:color w:val="3C3C3C"/>
        </w:rPr>
        <w:br/>
      </w:r>
      <w:r w:rsidRPr="00394C86">
        <w:rPr>
          <w:rFonts w:eastAsia="SimSun"/>
          <w:b/>
          <w:color w:val="3C3C3C"/>
        </w:rPr>
        <w:t>What will occur at country level?</w:t>
      </w:r>
      <w:r w:rsidR="00921E6E">
        <w:rPr>
          <w:rFonts w:eastAsia="SimSun"/>
          <w:color w:val="3C3C3C"/>
        </w:rPr>
        <w:br/>
      </w:r>
      <w:r w:rsidR="00921E6E">
        <w:rPr>
          <w:rFonts w:eastAsia="SimSun"/>
          <w:color w:val="3C3C3C"/>
        </w:rPr>
        <w:br/>
      </w:r>
      <w:r w:rsidRPr="00394C86">
        <w:rPr>
          <w:rFonts w:eastAsia="SimSun"/>
          <w:color w:val="3C3C3C"/>
        </w:rPr>
        <w:t xml:space="preserve">The </w:t>
      </w:r>
      <w:r w:rsidR="00500DB1" w:rsidRPr="00394C86">
        <w:rPr>
          <w:rFonts w:eastAsia="SimSun"/>
          <w:color w:val="3C3C3C"/>
        </w:rPr>
        <w:t>C</w:t>
      </w:r>
      <w:r w:rsidRPr="00394C86">
        <w:rPr>
          <w:rFonts w:eastAsia="SimSun"/>
          <w:color w:val="3C3C3C"/>
        </w:rPr>
        <w:t xml:space="preserve">ountry </w:t>
      </w:r>
      <w:r w:rsidR="00500DB1" w:rsidRPr="00394C86">
        <w:rPr>
          <w:rFonts w:eastAsia="SimSun"/>
          <w:color w:val="3C3C3C"/>
        </w:rPr>
        <w:t>C</w:t>
      </w:r>
      <w:r w:rsidRPr="00394C86">
        <w:rPr>
          <w:rFonts w:eastAsia="SimSun"/>
          <w:color w:val="3C3C3C"/>
        </w:rPr>
        <w:t xml:space="preserve">ommittees (involving the NGOs, DFAT and DPOs) will jointly review the progress against Disaster READY outcomes on an annual basis. The </w:t>
      </w:r>
      <w:r w:rsidR="00500DB1" w:rsidRPr="00394C86">
        <w:rPr>
          <w:rFonts w:eastAsia="SimSun"/>
          <w:color w:val="3C3C3C"/>
        </w:rPr>
        <w:t>C</w:t>
      </w:r>
      <w:r w:rsidRPr="00394C86">
        <w:rPr>
          <w:rFonts w:eastAsia="SimSun"/>
          <w:color w:val="3C3C3C"/>
        </w:rPr>
        <w:t xml:space="preserve">ountry </w:t>
      </w:r>
      <w:r w:rsidR="00500DB1" w:rsidRPr="00394C86">
        <w:rPr>
          <w:rFonts w:eastAsia="SimSun"/>
          <w:color w:val="3C3C3C"/>
        </w:rPr>
        <w:t>C</w:t>
      </w:r>
      <w:r w:rsidRPr="00394C86">
        <w:rPr>
          <w:rFonts w:eastAsia="SimSun"/>
          <w:color w:val="3C3C3C"/>
        </w:rPr>
        <w:t>ommittees will assess whether progress has been as expected and is adequate</w:t>
      </w:r>
      <w:r w:rsidR="00C20255" w:rsidRPr="00394C86">
        <w:rPr>
          <w:rFonts w:eastAsia="SimSun"/>
          <w:color w:val="3C3C3C"/>
        </w:rPr>
        <w:t>, and will determine</w:t>
      </w:r>
      <w:r w:rsidRPr="00394C86">
        <w:rPr>
          <w:rFonts w:eastAsia="SimSun"/>
          <w:color w:val="3C3C3C"/>
        </w:rPr>
        <w:t xml:space="preserve"> lessons for sharing and areas for improvement. </w:t>
      </w:r>
    </w:p>
    <w:p w14:paraId="5697C87D" w14:textId="3703F075" w:rsidR="006734E5" w:rsidRPr="00394C86" w:rsidRDefault="00921E6E" w:rsidP="00B243F3">
      <w:pPr>
        <w:spacing w:after="0" w:line="240" w:lineRule="auto"/>
        <w:rPr>
          <w:rFonts w:eastAsia="SimSun"/>
          <w:color w:val="3C3C3C"/>
        </w:rPr>
      </w:pPr>
      <w:r>
        <w:rPr>
          <w:rFonts w:eastAsia="SimSun"/>
          <w:color w:val="3C3C3C"/>
        </w:rPr>
        <w:br/>
      </w:r>
    </w:p>
    <w:tbl>
      <w:tblPr>
        <w:tblStyle w:val="TableGrid1"/>
        <w:tblW w:w="0" w:type="auto"/>
        <w:tblLook w:val="04A0" w:firstRow="1" w:lastRow="0" w:firstColumn="1" w:lastColumn="0" w:noHBand="0" w:noVBand="1"/>
      </w:tblPr>
      <w:tblGrid>
        <w:gridCol w:w="1075"/>
        <w:gridCol w:w="7941"/>
      </w:tblGrid>
      <w:tr w:rsidR="007363D0" w:rsidRPr="00656F60" w14:paraId="29001D2B" w14:textId="77777777" w:rsidTr="00D97771">
        <w:tc>
          <w:tcPr>
            <w:tcW w:w="1075" w:type="dxa"/>
            <w:shd w:val="clear" w:color="auto" w:fill="CCCCCF"/>
          </w:tcPr>
          <w:p w14:paraId="17F335AF" w14:textId="77777777" w:rsidR="006734E5" w:rsidRPr="00656F60" w:rsidRDefault="006734E5" w:rsidP="00D97771">
            <w:pPr>
              <w:spacing w:line="276" w:lineRule="auto"/>
              <w:contextualSpacing/>
              <w:rPr>
                <w:rFonts w:eastAsia="Corbel"/>
              </w:rPr>
            </w:pPr>
            <w:r w:rsidRPr="00656F60">
              <w:rPr>
                <w:rFonts w:eastAsia="Corbel"/>
              </w:rPr>
              <w:t>What</w:t>
            </w:r>
          </w:p>
        </w:tc>
        <w:tc>
          <w:tcPr>
            <w:tcW w:w="7941" w:type="dxa"/>
          </w:tcPr>
          <w:p w14:paraId="685F3EFB" w14:textId="7FC97F90" w:rsidR="006734E5" w:rsidRPr="00656F60" w:rsidRDefault="006734E5" w:rsidP="00D97771">
            <w:pPr>
              <w:spacing w:line="276" w:lineRule="auto"/>
              <w:contextualSpacing/>
              <w:rPr>
                <w:rFonts w:eastAsia="Corbel"/>
                <w:b/>
                <w:color w:val="3C3C3C" w:themeColor="background2" w:themeShade="40"/>
              </w:rPr>
            </w:pPr>
            <w:r w:rsidRPr="00656F60">
              <w:rPr>
                <w:b/>
                <w:color w:val="3C3C3C" w:themeColor="background2" w:themeShade="40"/>
              </w:rPr>
              <w:t xml:space="preserve">Country Review, Learning and Planning </w:t>
            </w:r>
            <w:r w:rsidR="00500DB1" w:rsidRPr="00656F60">
              <w:rPr>
                <w:b/>
                <w:color w:val="3C3C3C" w:themeColor="background2" w:themeShade="40"/>
              </w:rPr>
              <w:t>F</w:t>
            </w:r>
            <w:r w:rsidRPr="00656F60">
              <w:rPr>
                <w:b/>
                <w:color w:val="3C3C3C" w:themeColor="background2" w:themeShade="40"/>
              </w:rPr>
              <w:t>orum</w:t>
            </w:r>
          </w:p>
        </w:tc>
      </w:tr>
      <w:tr w:rsidR="007363D0" w:rsidRPr="00656F60" w14:paraId="7BAE43B3" w14:textId="77777777" w:rsidTr="00D97771">
        <w:tc>
          <w:tcPr>
            <w:tcW w:w="1075" w:type="dxa"/>
            <w:shd w:val="clear" w:color="auto" w:fill="CCCCCF"/>
          </w:tcPr>
          <w:p w14:paraId="046BC960" w14:textId="77777777" w:rsidR="006734E5" w:rsidRPr="00656F60" w:rsidRDefault="006734E5" w:rsidP="00D97771">
            <w:pPr>
              <w:spacing w:line="276" w:lineRule="auto"/>
              <w:contextualSpacing/>
              <w:rPr>
                <w:rFonts w:eastAsia="Corbel"/>
              </w:rPr>
            </w:pPr>
            <w:r w:rsidRPr="00656F60">
              <w:t>When</w:t>
            </w:r>
          </w:p>
        </w:tc>
        <w:tc>
          <w:tcPr>
            <w:tcW w:w="7941" w:type="dxa"/>
          </w:tcPr>
          <w:p w14:paraId="361917AE" w14:textId="73692036" w:rsidR="006734E5" w:rsidRPr="00656F60" w:rsidRDefault="006734E5" w:rsidP="00D97771">
            <w:pPr>
              <w:spacing w:line="276" w:lineRule="auto"/>
              <w:contextualSpacing/>
              <w:rPr>
                <w:rFonts w:eastAsia="Corbel"/>
                <w:color w:val="3C3C3C" w:themeColor="background2" w:themeShade="40"/>
              </w:rPr>
            </w:pPr>
            <w:r w:rsidRPr="00656F60">
              <w:rPr>
                <w:color w:val="3C3C3C" w:themeColor="background2" w:themeShade="40"/>
              </w:rPr>
              <w:t>September</w:t>
            </w:r>
            <w:r w:rsidR="00C16B5A" w:rsidRPr="00656F60">
              <w:rPr>
                <w:color w:val="3C3C3C" w:themeColor="background2" w:themeShade="40"/>
              </w:rPr>
              <w:t>/</w:t>
            </w:r>
            <w:r w:rsidRPr="00656F60">
              <w:rPr>
                <w:color w:val="3C3C3C" w:themeColor="background2" w:themeShade="40"/>
              </w:rPr>
              <w:t>October, annually (two</w:t>
            </w:r>
            <w:r w:rsidR="00500DB1" w:rsidRPr="00656F60">
              <w:rPr>
                <w:color w:val="3C3C3C" w:themeColor="background2" w:themeShade="40"/>
              </w:rPr>
              <w:t xml:space="preserve"> </w:t>
            </w:r>
            <w:r w:rsidRPr="00656F60">
              <w:rPr>
                <w:color w:val="3C3C3C" w:themeColor="background2" w:themeShade="40"/>
              </w:rPr>
              <w:t>days)</w:t>
            </w:r>
          </w:p>
        </w:tc>
      </w:tr>
      <w:tr w:rsidR="007363D0" w:rsidRPr="00656F60" w14:paraId="5DE9FC53" w14:textId="77777777" w:rsidTr="00D97771">
        <w:tc>
          <w:tcPr>
            <w:tcW w:w="1075" w:type="dxa"/>
            <w:shd w:val="clear" w:color="auto" w:fill="CCCCCF"/>
          </w:tcPr>
          <w:p w14:paraId="676833E5" w14:textId="77777777" w:rsidR="006734E5" w:rsidRPr="00656F60" w:rsidRDefault="006734E5" w:rsidP="00D97771">
            <w:pPr>
              <w:spacing w:line="276" w:lineRule="auto"/>
              <w:contextualSpacing/>
              <w:rPr>
                <w:rFonts w:eastAsia="Corbel"/>
              </w:rPr>
            </w:pPr>
            <w:r w:rsidRPr="00656F60">
              <w:t xml:space="preserve">What </w:t>
            </w:r>
          </w:p>
        </w:tc>
        <w:tc>
          <w:tcPr>
            <w:tcW w:w="7941" w:type="dxa"/>
          </w:tcPr>
          <w:p w14:paraId="239BBA6D" w14:textId="23059BF3" w:rsidR="006734E5" w:rsidRPr="00656F60" w:rsidRDefault="006734E5" w:rsidP="006734E5">
            <w:pPr>
              <w:numPr>
                <w:ilvl w:val="0"/>
                <w:numId w:val="27"/>
              </w:numPr>
              <w:spacing w:line="276" w:lineRule="auto"/>
              <w:contextualSpacing/>
              <w:rPr>
                <w:rFonts w:eastAsia="Corbel"/>
                <w:color w:val="3C3C3C" w:themeColor="background2" w:themeShade="40"/>
              </w:rPr>
            </w:pPr>
            <w:r w:rsidRPr="00656F60">
              <w:rPr>
                <w:rFonts w:eastAsia="Corbel"/>
                <w:color w:val="3C3C3C" w:themeColor="background2" w:themeShade="40"/>
              </w:rPr>
              <w:t xml:space="preserve">NGOs present highlights and lessons </w:t>
            </w:r>
          </w:p>
          <w:p w14:paraId="284BA018" w14:textId="77777777" w:rsidR="006734E5" w:rsidRPr="00656F60" w:rsidRDefault="006734E5" w:rsidP="006734E5">
            <w:pPr>
              <w:numPr>
                <w:ilvl w:val="0"/>
                <w:numId w:val="27"/>
              </w:numPr>
              <w:spacing w:line="276" w:lineRule="auto"/>
              <w:contextualSpacing/>
              <w:rPr>
                <w:rFonts w:eastAsia="Corbel"/>
                <w:color w:val="3C3C3C" w:themeColor="background2" w:themeShade="40"/>
              </w:rPr>
            </w:pPr>
            <w:r w:rsidRPr="00656F60">
              <w:rPr>
                <w:rFonts w:eastAsia="Corbel"/>
                <w:color w:val="3C3C3C" w:themeColor="background2" w:themeShade="40"/>
              </w:rPr>
              <w:t>Collective review of successes and areas for improvement against the country outcomes and indicators</w:t>
            </w:r>
          </w:p>
          <w:p w14:paraId="037B2231" w14:textId="0F66EB4E" w:rsidR="00C20255" w:rsidRPr="00656F60" w:rsidRDefault="006734E5" w:rsidP="006734E5">
            <w:pPr>
              <w:numPr>
                <w:ilvl w:val="0"/>
                <w:numId w:val="27"/>
              </w:numPr>
              <w:spacing w:line="276" w:lineRule="auto"/>
              <w:contextualSpacing/>
              <w:rPr>
                <w:rFonts w:eastAsia="Corbel"/>
                <w:color w:val="3C3C3C" w:themeColor="background2" w:themeShade="40"/>
              </w:rPr>
            </w:pPr>
            <w:r w:rsidRPr="00656F60">
              <w:rPr>
                <w:rFonts w:eastAsia="Corbel"/>
                <w:color w:val="3C3C3C" w:themeColor="background2" w:themeShade="40"/>
              </w:rPr>
              <w:t xml:space="preserve">Review results of </w:t>
            </w:r>
            <w:r w:rsidR="00F83E02" w:rsidRPr="00656F60">
              <w:rPr>
                <w:rFonts w:eastAsia="Corbel"/>
                <w:color w:val="3C3C3C" w:themeColor="background2" w:themeShade="40"/>
              </w:rPr>
              <w:t>s</w:t>
            </w:r>
            <w:r w:rsidR="00BF1A40" w:rsidRPr="00656F60">
              <w:rPr>
                <w:rFonts w:eastAsia="Corbel"/>
                <w:color w:val="3C3C3C" w:themeColor="background2" w:themeShade="40"/>
              </w:rPr>
              <w:t xml:space="preserve">hared </w:t>
            </w:r>
            <w:r w:rsidR="00F83E02" w:rsidRPr="00656F60">
              <w:rPr>
                <w:rFonts w:eastAsia="Corbel"/>
                <w:color w:val="3C3C3C" w:themeColor="background2" w:themeShade="40"/>
              </w:rPr>
              <w:t>s</w:t>
            </w:r>
            <w:r w:rsidR="00BF1A40" w:rsidRPr="00656F60">
              <w:rPr>
                <w:rFonts w:eastAsia="Corbel"/>
                <w:color w:val="3C3C3C" w:themeColor="background2" w:themeShade="40"/>
              </w:rPr>
              <w:t>ervices</w:t>
            </w:r>
            <w:r w:rsidRPr="00656F60">
              <w:rPr>
                <w:rFonts w:eastAsia="Corbel"/>
                <w:color w:val="3C3C3C" w:themeColor="background2" w:themeShade="40"/>
              </w:rPr>
              <w:t xml:space="preserve"> (e.g. review NGO progress to improve consideration of gender, disability, and child protection</w:t>
            </w:r>
            <w:r w:rsidRPr="00B243F3">
              <w:rPr>
                <w:rFonts w:eastAsia="Corbel"/>
                <w:color w:val="3C3C3C" w:themeColor="background2" w:themeShade="40"/>
                <w:vertAlign w:val="superscript"/>
              </w:rPr>
              <w:footnoteReference w:id="52"/>
            </w:r>
            <w:r w:rsidRPr="00B243F3">
              <w:rPr>
                <w:rFonts w:eastAsia="Corbel"/>
                <w:color w:val="3C3C3C" w:themeColor="background2" w:themeShade="40"/>
              </w:rPr>
              <w:t xml:space="preserve">) </w:t>
            </w:r>
          </w:p>
          <w:p w14:paraId="784990E8" w14:textId="7A5DC129" w:rsidR="006734E5" w:rsidRPr="00656F60" w:rsidRDefault="006734E5" w:rsidP="006734E5">
            <w:pPr>
              <w:numPr>
                <w:ilvl w:val="0"/>
                <w:numId w:val="27"/>
              </w:numPr>
              <w:spacing w:line="276" w:lineRule="auto"/>
              <w:contextualSpacing/>
              <w:rPr>
                <w:rFonts w:eastAsia="Corbel"/>
                <w:color w:val="3C3C3C" w:themeColor="background2" w:themeShade="40"/>
              </w:rPr>
            </w:pPr>
            <w:r w:rsidRPr="00656F60">
              <w:rPr>
                <w:rFonts w:eastAsia="Corbel"/>
                <w:color w:val="3C3C3C" w:themeColor="background2" w:themeShade="40"/>
              </w:rPr>
              <w:t xml:space="preserve">Plan the following year’s </w:t>
            </w:r>
            <w:r w:rsidR="00F83E02" w:rsidRPr="00656F60">
              <w:rPr>
                <w:rFonts w:eastAsia="Corbel"/>
                <w:color w:val="3C3C3C" w:themeColor="background2" w:themeShade="40"/>
              </w:rPr>
              <w:t>shared s</w:t>
            </w:r>
            <w:r w:rsidR="00BF1A40" w:rsidRPr="00656F60">
              <w:rPr>
                <w:rFonts w:eastAsia="Corbel"/>
                <w:color w:val="3C3C3C" w:themeColor="background2" w:themeShade="40"/>
              </w:rPr>
              <w:t>ervices</w:t>
            </w:r>
            <w:r w:rsidRPr="00656F60">
              <w:rPr>
                <w:rFonts w:eastAsia="Corbel"/>
                <w:color w:val="3C3C3C" w:themeColor="background2" w:themeShade="40"/>
              </w:rPr>
              <w:t xml:space="preserve"> submission</w:t>
            </w:r>
          </w:p>
          <w:p w14:paraId="39490C78" w14:textId="77777777" w:rsidR="006734E5" w:rsidRPr="00656F60" w:rsidRDefault="006734E5" w:rsidP="006734E5">
            <w:pPr>
              <w:numPr>
                <w:ilvl w:val="0"/>
                <w:numId w:val="27"/>
              </w:numPr>
              <w:spacing w:line="276" w:lineRule="auto"/>
              <w:contextualSpacing/>
              <w:rPr>
                <w:rFonts w:eastAsia="Corbel"/>
                <w:color w:val="3C3C3C" w:themeColor="background2" w:themeShade="40"/>
              </w:rPr>
            </w:pPr>
            <w:r w:rsidRPr="00656F60">
              <w:rPr>
                <w:rFonts w:eastAsia="Corbel"/>
                <w:color w:val="3C3C3C" w:themeColor="background2" w:themeShade="40"/>
              </w:rPr>
              <w:t>Review country-level risks</w:t>
            </w:r>
          </w:p>
          <w:p w14:paraId="616AEBEE" w14:textId="77777777" w:rsidR="006734E5" w:rsidRPr="00656F60" w:rsidRDefault="006734E5" w:rsidP="006734E5">
            <w:pPr>
              <w:numPr>
                <w:ilvl w:val="0"/>
                <w:numId w:val="27"/>
              </w:numPr>
              <w:spacing w:line="276" w:lineRule="auto"/>
              <w:contextualSpacing/>
              <w:rPr>
                <w:rFonts w:eastAsia="Corbel"/>
                <w:color w:val="3C3C3C" w:themeColor="background2" w:themeShade="40"/>
              </w:rPr>
            </w:pPr>
            <w:r w:rsidRPr="00656F60">
              <w:rPr>
                <w:rFonts w:eastAsia="Corbel"/>
                <w:color w:val="3C3C3C" w:themeColor="background2" w:themeShade="40"/>
              </w:rPr>
              <w:t xml:space="preserve">Identify opportunities for improved coordination </w:t>
            </w:r>
          </w:p>
        </w:tc>
      </w:tr>
      <w:tr w:rsidR="007363D0" w:rsidRPr="00656F60" w14:paraId="54B6B8AD" w14:textId="77777777" w:rsidTr="00D97771">
        <w:tc>
          <w:tcPr>
            <w:tcW w:w="1075" w:type="dxa"/>
            <w:shd w:val="clear" w:color="auto" w:fill="CCCCCF"/>
          </w:tcPr>
          <w:p w14:paraId="7481E772" w14:textId="77777777" w:rsidR="006734E5" w:rsidRPr="00656F60" w:rsidRDefault="006734E5" w:rsidP="00D97771">
            <w:pPr>
              <w:spacing w:line="276" w:lineRule="auto"/>
              <w:contextualSpacing/>
            </w:pPr>
            <w:r w:rsidRPr="00656F60">
              <w:t>Who</w:t>
            </w:r>
          </w:p>
        </w:tc>
        <w:tc>
          <w:tcPr>
            <w:tcW w:w="7941" w:type="dxa"/>
          </w:tcPr>
          <w:p w14:paraId="369904D0" w14:textId="77777777" w:rsidR="006734E5" w:rsidRPr="00656F60" w:rsidRDefault="006734E5" w:rsidP="00D97771">
            <w:pPr>
              <w:spacing w:line="276" w:lineRule="auto"/>
              <w:contextualSpacing/>
              <w:rPr>
                <w:color w:val="3C3C3C" w:themeColor="background2" w:themeShade="40"/>
              </w:rPr>
            </w:pPr>
            <w:r w:rsidRPr="00656F60">
              <w:rPr>
                <w:color w:val="3C3C3C" w:themeColor="background2" w:themeShade="40"/>
              </w:rPr>
              <w:t>All country partners, DPO, DFAT Post + AHP SU (+ ANGOs where appropriate)</w:t>
            </w:r>
          </w:p>
          <w:p w14:paraId="275A77E8" w14:textId="589028E5" w:rsidR="006734E5" w:rsidRPr="00656F60" w:rsidRDefault="006734E5" w:rsidP="002B78DC">
            <w:pPr>
              <w:spacing w:line="276" w:lineRule="auto"/>
              <w:contextualSpacing/>
              <w:rPr>
                <w:rFonts w:eastAsia="Corbel"/>
                <w:color w:val="3C3C3C" w:themeColor="background2" w:themeShade="40"/>
              </w:rPr>
            </w:pPr>
            <w:r w:rsidRPr="00656F60">
              <w:rPr>
                <w:rFonts w:eastAsia="Corbel"/>
                <w:color w:val="3C3C3C" w:themeColor="background2" w:themeShade="40"/>
              </w:rPr>
              <w:t xml:space="preserve">The </w:t>
            </w:r>
            <w:r w:rsidR="002B14F5" w:rsidRPr="00656F60">
              <w:rPr>
                <w:rFonts w:eastAsia="Corbel"/>
                <w:color w:val="3C3C3C" w:themeColor="background2" w:themeShade="40"/>
              </w:rPr>
              <w:t>C</w:t>
            </w:r>
            <w:r w:rsidRPr="00656F60">
              <w:rPr>
                <w:rFonts w:eastAsia="Corbel"/>
                <w:color w:val="3C3C3C" w:themeColor="background2" w:themeShade="40"/>
              </w:rPr>
              <w:t xml:space="preserve">ountry </w:t>
            </w:r>
            <w:r w:rsidR="002B14F5" w:rsidRPr="00656F60">
              <w:rPr>
                <w:rFonts w:eastAsia="Corbel"/>
                <w:color w:val="3C3C3C" w:themeColor="background2" w:themeShade="40"/>
              </w:rPr>
              <w:t>C</w:t>
            </w:r>
            <w:r w:rsidRPr="00656F60">
              <w:rPr>
                <w:rFonts w:eastAsia="Corbel"/>
                <w:color w:val="3C3C3C" w:themeColor="background2" w:themeShade="40"/>
              </w:rPr>
              <w:t xml:space="preserve">ommittee </w:t>
            </w:r>
            <w:r w:rsidR="00F83E02" w:rsidRPr="00656F60">
              <w:rPr>
                <w:rFonts w:eastAsia="Corbel"/>
                <w:color w:val="3C3C3C" w:themeColor="background2" w:themeShade="40"/>
              </w:rPr>
              <w:t xml:space="preserve">could </w:t>
            </w:r>
            <w:r w:rsidRPr="00656F60">
              <w:rPr>
                <w:rFonts w:eastAsia="Corbel"/>
                <w:color w:val="3C3C3C" w:themeColor="background2" w:themeShade="40"/>
              </w:rPr>
              <w:t>involve other stakeholders for part of the workshop (e.g. N</w:t>
            </w:r>
            <w:r w:rsidR="00F83E02" w:rsidRPr="00656F60">
              <w:rPr>
                <w:rFonts w:eastAsia="Corbel"/>
                <w:color w:val="3C3C3C" w:themeColor="background2" w:themeShade="40"/>
              </w:rPr>
              <w:t>DMO</w:t>
            </w:r>
            <w:r w:rsidRPr="00656F60">
              <w:rPr>
                <w:rFonts w:eastAsia="Corbel"/>
                <w:color w:val="3C3C3C" w:themeColor="background2" w:themeShade="40"/>
              </w:rPr>
              <w:t>, Office of Women’s Affairs or others as relevant)</w:t>
            </w:r>
          </w:p>
        </w:tc>
      </w:tr>
    </w:tbl>
    <w:p w14:paraId="694E457A" w14:textId="708E1E81" w:rsidR="00B243F3" w:rsidRDefault="006734E5" w:rsidP="00B243F3">
      <w:pPr>
        <w:rPr>
          <w:rFonts w:eastAsia="SimSun"/>
          <w:color w:val="3C3C3C"/>
        </w:rPr>
      </w:pPr>
      <w:r w:rsidRPr="00394C86">
        <w:rPr>
          <w:rFonts w:eastAsia="SimSun"/>
          <w:b/>
          <w:color w:val="3C3C3C"/>
        </w:rPr>
        <w:lastRenderedPageBreak/>
        <w:t>Reporting and communications</w:t>
      </w:r>
      <w:r w:rsidR="00921E6E">
        <w:rPr>
          <w:rFonts w:eastAsia="SimSun"/>
          <w:color w:val="3C3C3C"/>
        </w:rPr>
        <w:br/>
      </w:r>
      <w:r w:rsidR="00921E6E">
        <w:rPr>
          <w:rFonts w:eastAsia="SimSun"/>
          <w:color w:val="3C3C3C"/>
        </w:rPr>
        <w:br/>
      </w:r>
      <w:r w:rsidRPr="00394C86">
        <w:rPr>
          <w:rFonts w:eastAsia="SimSun"/>
          <w:color w:val="3C3C3C"/>
        </w:rPr>
        <w:t xml:space="preserve">On an annual basis, the AHP SU will work with the lead NGO in each country to write an annual report. This report will </w:t>
      </w:r>
      <w:r w:rsidRPr="00394C86">
        <w:rPr>
          <w:rFonts w:eastAsia="SimSun"/>
          <w:color w:val="3C3C3C"/>
          <w:lang w:val="en-AU"/>
        </w:rPr>
        <w:t>synthesise</w:t>
      </w:r>
      <w:r w:rsidRPr="00394C86">
        <w:rPr>
          <w:rFonts w:eastAsia="SimSun"/>
          <w:color w:val="3C3C3C"/>
        </w:rPr>
        <w:t xml:space="preserve"> the NGOs’ annual reports to provide a collective story of the program’s progress in relation to the outcomes in the country plan. The report will also </w:t>
      </w:r>
      <w:r w:rsidRPr="00394C86">
        <w:rPr>
          <w:rFonts w:eastAsia="SimSun"/>
          <w:color w:val="3C3C3C"/>
          <w:lang w:val="en-AU"/>
        </w:rPr>
        <w:t>summarise</w:t>
      </w:r>
      <w:r w:rsidRPr="00394C86">
        <w:rPr>
          <w:rFonts w:eastAsia="SimSun"/>
          <w:color w:val="3C3C3C"/>
        </w:rPr>
        <w:t xml:space="preserve"> the outcomes of the </w:t>
      </w:r>
      <w:r w:rsidR="002B78DC" w:rsidRPr="00394C86">
        <w:rPr>
          <w:rFonts w:eastAsia="SimSun"/>
          <w:color w:val="3C3C3C"/>
        </w:rPr>
        <w:t>shared s</w:t>
      </w:r>
      <w:r w:rsidR="00BF1A40" w:rsidRPr="00394C86">
        <w:rPr>
          <w:rFonts w:eastAsia="SimSun"/>
          <w:color w:val="3C3C3C"/>
        </w:rPr>
        <w:t>ervices</w:t>
      </w:r>
      <w:r w:rsidRPr="00394C86">
        <w:rPr>
          <w:rFonts w:eastAsia="SimSun"/>
          <w:color w:val="3C3C3C"/>
        </w:rPr>
        <w:t xml:space="preserve"> funding (the lead coordinator will provide a brief report on the activities and results of </w:t>
      </w:r>
      <w:r w:rsidR="002B78DC" w:rsidRPr="00394C86">
        <w:rPr>
          <w:rFonts w:eastAsia="SimSun"/>
          <w:color w:val="3C3C3C"/>
        </w:rPr>
        <w:t>shared s</w:t>
      </w:r>
      <w:r w:rsidR="00BF1A40" w:rsidRPr="00394C86">
        <w:rPr>
          <w:rFonts w:eastAsia="SimSun"/>
          <w:color w:val="3C3C3C"/>
        </w:rPr>
        <w:t>ervices</w:t>
      </w:r>
      <w:r w:rsidRPr="00394C86">
        <w:rPr>
          <w:rFonts w:eastAsia="SimSun"/>
          <w:color w:val="3C3C3C"/>
        </w:rPr>
        <w:t xml:space="preserve"> on 31 October, together with </w:t>
      </w:r>
      <w:r w:rsidR="009D0B2B" w:rsidRPr="00394C86">
        <w:rPr>
          <w:rFonts w:eastAsia="SimSun"/>
          <w:color w:val="3C3C3C"/>
        </w:rPr>
        <w:t xml:space="preserve">a </w:t>
      </w:r>
      <w:r w:rsidRPr="00394C86">
        <w:rPr>
          <w:rFonts w:eastAsia="SimSun"/>
          <w:color w:val="3C3C3C"/>
        </w:rPr>
        <w:t xml:space="preserve">proposal for the </w:t>
      </w:r>
      <w:r w:rsidR="009D0B2B" w:rsidRPr="00394C86">
        <w:rPr>
          <w:rFonts w:eastAsia="SimSun"/>
          <w:color w:val="3C3C3C"/>
        </w:rPr>
        <w:t xml:space="preserve">following </w:t>
      </w:r>
      <w:r w:rsidRPr="00394C86">
        <w:rPr>
          <w:rFonts w:eastAsia="SimSun"/>
          <w:color w:val="3C3C3C"/>
        </w:rPr>
        <w:t>year</w:t>
      </w:r>
      <w:r w:rsidR="009D0B2B" w:rsidRPr="00394C86">
        <w:rPr>
          <w:rFonts w:eastAsia="SimSun"/>
          <w:color w:val="3C3C3C"/>
        </w:rPr>
        <w:t>’</w:t>
      </w:r>
      <w:r w:rsidRPr="00394C86">
        <w:rPr>
          <w:rFonts w:eastAsia="SimSun"/>
          <w:color w:val="3C3C3C"/>
        </w:rPr>
        <w:t xml:space="preserve">s funding). This report will be shared with DFAT, the DPO, NDMO and other local stakeholders. The </w:t>
      </w:r>
      <w:r w:rsidR="009D0B2B" w:rsidRPr="00394C86">
        <w:rPr>
          <w:rFonts w:eastAsia="SimSun"/>
          <w:color w:val="3C3C3C"/>
        </w:rPr>
        <w:t xml:space="preserve">AHP </w:t>
      </w:r>
      <w:r w:rsidRPr="00394C86">
        <w:rPr>
          <w:rFonts w:eastAsia="SimSun"/>
          <w:color w:val="3C3C3C"/>
        </w:rPr>
        <w:t xml:space="preserve">SU will also assist the </w:t>
      </w:r>
      <w:r w:rsidR="009D0B2B" w:rsidRPr="00394C86">
        <w:rPr>
          <w:rFonts w:eastAsia="SimSun"/>
          <w:color w:val="3C3C3C"/>
        </w:rPr>
        <w:t>C</w:t>
      </w:r>
      <w:r w:rsidRPr="00394C86">
        <w:rPr>
          <w:rFonts w:eastAsia="SimSun"/>
          <w:color w:val="3C3C3C"/>
        </w:rPr>
        <w:t xml:space="preserve">ountry </w:t>
      </w:r>
      <w:r w:rsidR="009D0B2B" w:rsidRPr="00394C86">
        <w:rPr>
          <w:rFonts w:eastAsia="SimSun"/>
          <w:color w:val="3C3C3C"/>
        </w:rPr>
        <w:t>C</w:t>
      </w:r>
      <w:r w:rsidRPr="00394C86">
        <w:rPr>
          <w:rFonts w:eastAsia="SimSun"/>
          <w:color w:val="3C3C3C"/>
        </w:rPr>
        <w:t>ommittee to identify and develop additional communication products to showcase and share the lessons and achievements of the program in-country and more widely as appropriate.</w:t>
      </w:r>
      <w:r w:rsidR="00921E6E">
        <w:rPr>
          <w:rFonts w:eastAsia="SimSun"/>
          <w:b/>
          <w:color w:val="3C3C3C"/>
        </w:rPr>
        <w:br/>
      </w:r>
      <w:r w:rsidR="00921E6E">
        <w:rPr>
          <w:rFonts w:eastAsia="SimSun"/>
          <w:b/>
          <w:color w:val="3C3C3C"/>
        </w:rPr>
        <w:br/>
      </w:r>
      <w:r w:rsidRPr="00394C86">
        <w:rPr>
          <w:rFonts w:eastAsia="SimSun"/>
          <w:b/>
          <w:color w:val="3C3C3C"/>
        </w:rPr>
        <w:t xml:space="preserve">DFAT review of </w:t>
      </w:r>
      <w:r w:rsidR="002B78DC" w:rsidRPr="00394C86">
        <w:rPr>
          <w:rFonts w:eastAsia="SimSun"/>
          <w:b/>
          <w:color w:val="3C3C3C"/>
        </w:rPr>
        <w:t>shared s</w:t>
      </w:r>
      <w:r w:rsidR="00BF1A40" w:rsidRPr="00394C86">
        <w:rPr>
          <w:rFonts w:eastAsia="SimSun"/>
          <w:b/>
          <w:color w:val="3C3C3C"/>
        </w:rPr>
        <w:t>ervices</w:t>
      </w:r>
      <w:r w:rsidR="00921E6E">
        <w:rPr>
          <w:rFonts w:eastAsia="SimSun"/>
          <w:color w:val="3C3C3C"/>
        </w:rPr>
        <w:br/>
      </w:r>
      <w:r w:rsidR="00921E6E">
        <w:rPr>
          <w:rFonts w:eastAsia="SimSun"/>
          <w:color w:val="3C3C3C"/>
        </w:rPr>
        <w:br/>
      </w:r>
      <w:r w:rsidRPr="00394C86">
        <w:rPr>
          <w:rFonts w:eastAsia="SimSun"/>
          <w:color w:val="3C3C3C"/>
        </w:rPr>
        <w:t xml:space="preserve">On an annual basis, </w:t>
      </w:r>
      <w:r w:rsidR="009D0B2B" w:rsidRPr="00394C86">
        <w:rPr>
          <w:rFonts w:eastAsia="SimSun"/>
          <w:color w:val="3C3C3C"/>
        </w:rPr>
        <w:t>Country Committee</w:t>
      </w:r>
      <w:r w:rsidRPr="00394C86">
        <w:rPr>
          <w:rFonts w:eastAsia="SimSun"/>
          <w:color w:val="3C3C3C"/>
        </w:rPr>
        <w:t xml:space="preserve">s will provide a proposal for the following year’s social inclusion work to be funded through </w:t>
      </w:r>
      <w:r w:rsidR="002B78DC" w:rsidRPr="00394C86">
        <w:rPr>
          <w:rFonts w:eastAsia="SimSun"/>
          <w:color w:val="3C3C3C"/>
        </w:rPr>
        <w:t>shared s</w:t>
      </w:r>
      <w:r w:rsidR="00BF1A40" w:rsidRPr="00394C86">
        <w:rPr>
          <w:rFonts w:eastAsia="SimSun"/>
          <w:color w:val="3C3C3C"/>
        </w:rPr>
        <w:t>ervices</w:t>
      </w:r>
      <w:r w:rsidRPr="00394C86">
        <w:rPr>
          <w:rFonts w:eastAsia="SimSun"/>
          <w:color w:val="3C3C3C"/>
        </w:rPr>
        <w:t>. The</w:t>
      </w:r>
      <w:r w:rsidRPr="00394C86">
        <w:rPr>
          <w:rFonts w:eastAsia="Corbel"/>
          <w:color w:val="3C3C3C"/>
        </w:rPr>
        <w:t xml:space="preserve"> DFAT Humanitarian Preparedness and Response Section will review and provide feedback on these proposals (considering the report on progress provided by the lead coordinator described above) and seek feedback from DFAT Posts and relevant thematic areas as required.</w:t>
      </w:r>
      <w:r w:rsidR="00921E6E">
        <w:rPr>
          <w:rFonts w:eastAsia="Corbel"/>
          <w:color w:val="3C3C3C"/>
        </w:rPr>
        <w:br/>
      </w:r>
    </w:p>
    <w:p w14:paraId="10EE1C2C" w14:textId="45C4A700" w:rsidR="006734E5" w:rsidRPr="00B243F3" w:rsidRDefault="006734E5" w:rsidP="009603A4">
      <w:pPr>
        <w:pStyle w:val="Heading2"/>
        <w:rPr>
          <w:rFonts w:ascii="Calibri" w:hAnsi="Calibri" w:cs="Calibri"/>
        </w:rPr>
      </w:pPr>
      <w:bookmarkStart w:id="46" w:name="_Toc499652285"/>
      <w:bookmarkStart w:id="47" w:name="_Toc501451681"/>
      <w:r w:rsidRPr="00B243F3">
        <w:rPr>
          <w:rFonts w:ascii="Calibri" w:hAnsi="Calibri" w:cs="Calibri"/>
        </w:rPr>
        <w:t>NGO Sub Program</w:t>
      </w:r>
      <w:bookmarkEnd w:id="46"/>
      <w:bookmarkEnd w:id="47"/>
    </w:p>
    <w:p w14:paraId="40B5B1D0" w14:textId="58D969B1" w:rsidR="006734E5" w:rsidRPr="00394C86" w:rsidRDefault="006734E5" w:rsidP="00FA20DE">
      <w:pPr>
        <w:rPr>
          <w:rFonts w:eastAsia="SimSun"/>
          <w:color w:val="3C3C3C"/>
        </w:rPr>
      </w:pPr>
      <w:r w:rsidRPr="00394C86">
        <w:rPr>
          <w:rFonts w:eastAsia="SimSun"/>
          <w:color w:val="3C3C3C"/>
        </w:rPr>
        <w:t xml:space="preserve">As noted earlier, the NGOs' M&amp;E will provide the bulk of the information used to assess and report on the progress against Disaster READY objectives. </w:t>
      </w:r>
      <w:r w:rsidR="00921E6E">
        <w:rPr>
          <w:rFonts w:eastAsia="SimSun"/>
          <w:color w:val="3C3C3C"/>
        </w:rPr>
        <w:br/>
      </w:r>
      <w:r w:rsidR="00921E6E">
        <w:rPr>
          <w:rFonts w:eastAsia="SimSun"/>
          <w:color w:val="3C3C3C"/>
        </w:rPr>
        <w:br/>
      </w:r>
      <w:r w:rsidRPr="00394C86">
        <w:rPr>
          <w:rFonts w:eastAsia="SimSun"/>
          <w:color w:val="3C3C3C"/>
        </w:rPr>
        <w:t>All NGOs have been required to align their designs to Disaster READY objectives and outcomes</w:t>
      </w:r>
      <w:r w:rsidRPr="00394C86">
        <w:rPr>
          <w:rFonts w:eastAsia="SimSun"/>
          <w:color w:val="3C3C3C"/>
          <w:vertAlign w:val="superscript"/>
        </w:rPr>
        <w:footnoteReference w:id="53"/>
      </w:r>
      <w:r w:rsidRPr="00394C86">
        <w:rPr>
          <w:rFonts w:eastAsia="SimSun"/>
          <w:color w:val="3C3C3C"/>
        </w:rPr>
        <w:t xml:space="preserve"> and to identify which of the common Disaster READY indicators they will monitor and report on. The NGOs will also monitor other quantitative and qualitative indicators as needed to assess their results against Disaster READY outcomes. </w:t>
      </w:r>
      <w:r w:rsidR="00921E6E">
        <w:rPr>
          <w:rFonts w:eastAsia="SimSun"/>
          <w:color w:val="3C3C3C"/>
        </w:rPr>
        <w:br/>
      </w:r>
      <w:r w:rsidR="00921E6E">
        <w:rPr>
          <w:rFonts w:eastAsia="SimSun"/>
          <w:color w:val="3C3C3C"/>
        </w:rPr>
        <w:br/>
      </w:r>
      <w:r w:rsidR="00920B37" w:rsidRPr="00394C86">
        <w:rPr>
          <w:rFonts w:eastAsia="SimSun"/>
          <w:color w:val="3C3C3C"/>
        </w:rPr>
        <w:t xml:space="preserve">The NGOs will </w:t>
      </w:r>
      <w:r w:rsidRPr="00394C86">
        <w:rPr>
          <w:rFonts w:eastAsia="SimSun"/>
          <w:color w:val="3C3C3C"/>
        </w:rPr>
        <w:t xml:space="preserve">review and report on progress (including results from </w:t>
      </w:r>
      <w:r w:rsidR="002B78DC" w:rsidRPr="00394C86">
        <w:rPr>
          <w:rFonts w:eastAsia="SimSun"/>
          <w:color w:val="3C3C3C"/>
        </w:rPr>
        <w:t>shared s</w:t>
      </w:r>
      <w:r w:rsidR="00BF1A40" w:rsidRPr="00394C86">
        <w:rPr>
          <w:rFonts w:eastAsia="SimSun"/>
          <w:color w:val="3C3C3C"/>
        </w:rPr>
        <w:t>ervices</w:t>
      </w:r>
      <w:r w:rsidRPr="00394C86">
        <w:rPr>
          <w:rFonts w:eastAsia="SimSun"/>
          <w:color w:val="3C3C3C"/>
        </w:rPr>
        <w:t>, the NGO multi-year funds, and any activities implemented under the PPF)</w:t>
      </w:r>
      <w:r w:rsidR="00920B37" w:rsidRPr="00394C86">
        <w:rPr>
          <w:rFonts w:eastAsia="SimSun"/>
          <w:color w:val="3C3C3C"/>
        </w:rPr>
        <w:t xml:space="preserve"> on an annual basis</w:t>
      </w:r>
      <w:r w:rsidRPr="00394C86">
        <w:rPr>
          <w:rFonts w:eastAsia="SimSun"/>
          <w:color w:val="3C3C3C"/>
        </w:rPr>
        <w:t>.</w:t>
      </w:r>
      <w:r w:rsidR="00920B37" w:rsidRPr="00394C86">
        <w:rPr>
          <w:rFonts w:eastAsia="SimSun"/>
          <w:color w:val="3C3C3C"/>
        </w:rPr>
        <w:t xml:space="preserve"> They will do so individually and collectively as a Country Committee. </w:t>
      </w:r>
      <w:r w:rsidRPr="00394C86">
        <w:rPr>
          <w:rFonts w:eastAsia="SimSun"/>
          <w:color w:val="3C3C3C"/>
        </w:rPr>
        <w:t>Based on this analysis, the NGOs will develop their activity proposals for the following year.</w:t>
      </w:r>
      <w:r w:rsidR="00920B37" w:rsidRPr="00394C86">
        <w:rPr>
          <w:rFonts w:eastAsia="SimSun"/>
          <w:color w:val="3C3C3C"/>
        </w:rPr>
        <w:t xml:space="preserve"> </w:t>
      </w:r>
      <w:r w:rsidR="00921E6E">
        <w:rPr>
          <w:rFonts w:eastAsia="SimSun"/>
          <w:color w:val="3C3C3C"/>
        </w:rPr>
        <w:br/>
      </w:r>
      <w:r w:rsidR="00921E6E">
        <w:rPr>
          <w:rFonts w:eastAsia="SimSun"/>
          <w:color w:val="3C3C3C"/>
        </w:rPr>
        <w:br/>
      </w:r>
      <w:r w:rsidRPr="00394C86">
        <w:rPr>
          <w:rFonts w:eastAsia="SimSun"/>
          <w:color w:val="3C3C3C"/>
        </w:rPr>
        <w:t xml:space="preserve">As described further in the section on Quality Assurance below, DFAT will review the </w:t>
      </w:r>
      <w:r w:rsidRPr="00394C86">
        <w:rPr>
          <w:rFonts w:eastAsia="Corbel"/>
          <w:color w:val="3C3C3C"/>
        </w:rPr>
        <w:t>NGOs’ annual reports to assess their performance and to inform the approval of the NGOs’ proposals for the following year.</w:t>
      </w:r>
      <w:r w:rsidR="00921E6E">
        <w:rPr>
          <w:rFonts w:eastAsia="SimSun"/>
          <w:color w:val="3C3C3C"/>
        </w:rPr>
        <w:br/>
      </w:r>
      <w:r w:rsidR="00921E6E">
        <w:rPr>
          <w:rFonts w:eastAsia="SimSun"/>
          <w:color w:val="3C3C3C"/>
        </w:rPr>
        <w:br/>
      </w:r>
      <w:r w:rsidRPr="00394C86">
        <w:rPr>
          <w:rFonts w:eastAsia="SimSun"/>
          <w:color w:val="3C3C3C"/>
        </w:rPr>
        <w:t xml:space="preserve">The NGOs are also required to conduct an evaluation in </w:t>
      </w:r>
      <w:r w:rsidR="004E09BA" w:rsidRPr="00394C86">
        <w:rPr>
          <w:rFonts w:eastAsia="SimSun"/>
          <w:color w:val="3C3C3C"/>
        </w:rPr>
        <w:t>Year 4</w:t>
      </w:r>
      <w:r w:rsidRPr="00394C86">
        <w:rPr>
          <w:rFonts w:eastAsia="SimSun"/>
          <w:color w:val="3C3C3C"/>
        </w:rPr>
        <w:t xml:space="preserve"> of the program (2021). The results of this assessment will inform an independent evaluation of Disaster READY which will be commissioned by </w:t>
      </w:r>
      <w:r w:rsidRPr="00394C86">
        <w:rPr>
          <w:rFonts w:eastAsia="SimSun"/>
          <w:color w:val="3C3C3C"/>
        </w:rPr>
        <w:lastRenderedPageBreak/>
        <w:t>DFAT (see the section on program</w:t>
      </w:r>
      <w:r w:rsidR="00A6519C" w:rsidRPr="00394C86">
        <w:rPr>
          <w:rFonts w:eastAsia="SimSun"/>
          <w:color w:val="3C3C3C"/>
        </w:rPr>
        <w:t>-</w:t>
      </w:r>
      <w:r w:rsidRPr="00394C86">
        <w:rPr>
          <w:rFonts w:eastAsia="SimSun"/>
          <w:color w:val="3C3C3C"/>
        </w:rPr>
        <w:t xml:space="preserve">level M&amp;E above). NGOs </w:t>
      </w:r>
      <w:r w:rsidR="00920B37" w:rsidRPr="00394C86">
        <w:rPr>
          <w:rFonts w:eastAsia="SimSun"/>
          <w:color w:val="3C3C3C"/>
        </w:rPr>
        <w:t xml:space="preserve">will be </w:t>
      </w:r>
      <w:r w:rsidRPr="00394C86">
        <w:rPr>
          <w:rFonts w:eastAsia="SimSun"/>
          <w:color w:val="3C3C3C"/>
        </w:rPr>
        <w:t xml:space="preserve">encouraged to use their evaluation as an opportunity to facilitate a systematic internal review with their partners. However, it is recommended that the NGOs also involve </w:t>
      </w:r>
      <w:r w:rsidR="00920B37" w:rsidRPr="00394C86">
        <w:rPr>
          <w:rFonts w:eastAsia="SimSun"/>
          <w:color w:val="3C3C3C"/>
        </w:rPr>
        <w:t xml:space="preserve">at least one </w:t>
      </w:r>
      <w:r w:rsidRPr="00394C86">
        <w:rPr>
          <w:rFonts w:eastAsia="SimSun"/>
          <w:color w:val="3C3C3C"/>
        </w:rPr>
        <w:t>independent consultant to help meet accountability requirements and t</w:t>
      </w:r>
      <w:r w:rsidR="00920B37" w:rsidRPr="00394C86">
        <w:rPr>
          <w:rFonts w:eastAsia="SimSun"/>
          <w:color w:val="3C3C3C"/>
        </w:rPr>
        <w:t>o</w:t>
      </w:r>
      <w:r w:rsidRPr="00394C86">
        <w:rPr>
          <w:rFonts w:eastAsia="SimSun"/>
          <w:color w:val="3C3C3C"/>
        </w:rPr>
        <w:t xml:space="preserve"> bring a fresh perspective to their work. To ensure consistency, the NGO evaluation designs </w:t>
      </w:r>
      <w:r w:rsidR="00920B37" w:rsidRPr="00394C86">
        <w:rPr>
          <w:rFonts w:eastAsia="SimSun"/>
          <w:color w:val="3C3C3C"/>
        </w:rPr>
        <w:t xml:space="preserve">will </w:t>
      </w:r>
      <w:r w:rsidRPr="00394C86">
        <w:rPr>
          <w:rFonts w:eastAsia="SimSun"/>
          <w:color w:val="3C3C3C"/>
        </w:rPr>
        <w:t xml:space="preserve">be reviewed by the Team Leader chosen to conduct the DFAT independent evaluation. </w:t>
      </w:r>
      <w:r w:rsidR="00920B37" w:rsidRPr="00394C86">
        <w:rPr>
          <w:rFonts w:eastAsia="SimSun"/>
          <w:color w:val="3C3C3C"/>
        </w:rPr>
        <w:t xml:space="preserve">The NGOs </w:t>
      </w:r>
      <w:r w:rsidR="00C042F3" w:rsidRPr="00394C86">
        <w:rPr>
          <w:rFonts w:eastAsia="SimSun"/>
          <w:color w:val="3C3C3C"/>
        </w:rPr>
        <w:t>should also c</w:t>
      </w:r>
      <w:r w:rsidRPr="00394C86">
        <w:rPr>
          <w:rFonts w:eastAsia="SimSun"/>
          <w:color w:val="3C3C3C"/>
        </w:rPr>
        <w:t>onsider conducting joint evaluations in each country to support shared learning and efficiency.</w:t>
      </w:r>
      <w:r w:rsidR="00921E6E">
        <w:rPr>
          <w:rFonts w:eastAsia="SimSun"/>
          <w:b/>
          <w:color w:val="3C3C3C"/>
        </w:rPr>
        <w:br/>
      </w:r>
      <w:r w:rsidR="00921E6E">
        <w:rPr>
          <w:rFonts w:eastAsia="SimSun"/>
          <w:b/>
          <w:color w:val="3C3C3C"/>
        </w:rPr>
        <w:br/>
      </w:r>
      <w:r w:rsidRPr="00394C86">
        <w:rPr>
          <w:rFonts w:eastAsia="SimSun"/>
          <w:b/>
          <w:color w:val="3C3C3C"/>
        </w:rPr>
        <w:t>A localised approach – strengthening partners’ M&amp;E</w:t>
      </w:r>
      <w:r w:rsidR="00921E6E">
        <w:rPr>
          <w:rFonts w:eastAsia="SimSun"/>
          <w:color w:val="3C3C3C"/>
        </w:rPr>
        <w:br/>
      </w:r>
      <w:r w:rsidR="00921E6E">
        <w:rPr>
          <w:rFonts w:eastAsia="SimSun"/>
          <w:color w:val="3C3C3C"/>
        </w:rPr>
        <w:br/>
      </w:r>
      <w:r w:rsidRPr="00394C86">
        <w:rPr>
          <w:rFonts w:eastAsia="SimSun"/>
          <w:color w:val="3C3C3C"/>
        </w:rPr>
        <w:t>AHP NGOs have been encouraged to primarily use their local partners' existing systems for information management</w:t>
      </w:r>
      <w:r w:rsidR="00A6519C" w:rsidRPr="00394C86">
        <w:rPr>
          <w:rFonts w:eastAsia="SimSun"/>
          <w:color w:val="3C3C3C"/>
        </w:rPr>
        <w:t xml:space="preserve">; however, they need to </w:t>
      </w:r>
      <w:r w:rsidRPr="00394C86">
        <w:rPr>
          <w:rFonts w:eastAsia="SimSun"/>
          <w:color w:val="3C3C3C"/>
        </w:rPr>
        <w:t xml:space="preserve">ensure </w:t>
      </w:r>
      <w:r w:rsidR="00C042F3" w:rsidRPr="00394C86">
        <w:rPr>
          <w:rFonts w:eastAsia="SimSun"/>
          <w:color w:val="3C3C3C"/>
        </w:rPr>
        <w:t xml:space="preserve">that </w:t>
      </w:r>
      <w:r w:rsidRPr="00394C86">
        <w:rPr>
          <w:rFonts w:eastAsia="SimSun"/>
          <w:color w:val="3C3C3C"/>
        </w:rPr>
        <w:t xml:space="preserve">these </w:t>
      </w:r>
      <w:r w:rsidR="00A6519C" w:rsidRPr="00394C86">
        <w:rPr>
          <w:rFonts w:eastAsia="SimSun"/>
          <w:color w:val="3C3C3C"/>
        </w:rPr>
        <w:t xml:space="preserve">systems </w:t>
      </w:r>
      <w:r w:rsidRPr="00394C86">
        <w:rPr>
          <w:rFonts w:eastAsia="SimSun"/>
          <w:color w:val="3C3C3C"/>
        </w:rPr>
        <w:t>meet a series of quality requirements that were outlined in the design guidelines</w:t>
      </w:r>
      <w:r w:rsidRPr="00394C86">
        <w:rPr>
          <w:rFonts w:eastAsia="SimSun"/>
          <w:color w:val="3C3C3C"/>
          <w:vertAlign w:val="superscript"/>
        </w:rPr>
        <w:footnoteReference w:id="54"/>
      </w:r>
      <w:r w:rsidRPr="00394C86">
        <w:rPr>
          <w:rFonts w:eastAsia="SimSun"/>
          <w:color w:val="3C3C3C"/>
        </w:rPr>
        <w:t xml:space="preserve">. In summary, these requirements include: </w:t>
      </w:r>
    </w:p>
    <w:p w14:paraId="15733C73" w14:textId="604B30F0" w:rsidR="006734E5" w:rsidRPr="00394C86" w:rsidRDefault="00C042F3" w:rsidP="006734E5">
      <w:pPr>
        <w:numPr>
          <w:ilvl w:val="0"/>
          <w:numId w:val="25"/>
        </w:numPr>
        <w:spacing w:after="0" w:line="276" w:lineRule="auto"/>
        <w:ind w:left="714" w:hanging="357"/>
        <w:jc w:val="both"/>
        <w:rPr>
          <w:rFonts w:eastAsia="SimSun"/>
          <w:color w:val="3C3C3C"/>
        </w:rPr>
      </w:pPr>
      <w:r w:rsidRPr="00394C86">
        <w:rPr>
          <w:rFonts w:eastAsia="SimSun"/>
          <w:color w:val="3C3C3C"/>
        </w:rPr>
        <w:t>a</w:t>
      </w:r>
      <w:r w:rsidR="006734E5" w:rsidRPr="00394C86">
        <w:rPr>
          <w:rFonts w:eastAsia="SimSun"/>
          <w:color w:val="3C3C3C"/>
        </w:rPr>
        <w:t xml:space="preserve">ssessing not just the quality of activities but also the positive and negative outcomes that resulted; </w:t>
      </w:r>
    </w:p>
    <w:p w14:paraId="00E2D0FD" w14:textId="289EB756" w:rsidR="006734E5" w:rsidRPr="00394C86" w:rsidRDefault="00C042F3" w:rsidP="006734E5">
      <w:pPr>
        <w:numPr>
          <w:ilvl w:val="0"/>
          <w:numId w:val="25"/>
        </w:numPr>
        <w:spacing w:after="0" w:line="276" w:lineRule="auto"/>
        <w:ind w:left="714" w:hanging="357"/>
        <w:jc w:val="both"/>
        <w:rPr>
          <w:rFonts w:eastAsia="SimSun"/>
          <w:color w:val="3C3C3C"/>
        </w:rPr>
      </w:pPr>
      <w:r w:rsidRPr="00394C86">
        <w:rPr>
          <w:rFonts w:eastAsia="SimSun"/>
          <w:color w:val="3C3C3C"/>
        </w:rPr>
        <w:t>a</w:t>
      </w:r>
      <w:r w:rsidR="006734E5" w:rsidRPr="00394C86">
        <w:rPr>
          <w:rFonts w:eastAsia="SimSun"/>
          <w:color w:val="3C3C3C"/>
        </w:rPr>
        <w:t xml:space="preserve">ssessing different levels of involvement and positive (and negative) outcomes for women and men, youth, children and people with disabilities; </w:t>
      </w:r>
    </w:p>
    <w:p w14:paraId="187818C9" w14:textId="5ED75ED1" w:rsidR="006734E5" w:rsidRPr="00394C86" w:rsidRDefault="00C042F3" w:rsidP="006734E5">
      <w:pPr>
        <w:numPr>
          <w:ilvl w:val="0"/>
          <w:numId w:val="25"/>
        </w:numPr>
        <w:spacing w:after="0" w:line="276" w:lineRule="auto"/>
        <w:ind w:left="714" w:hanging="357"/>
        <w:jc w:val="both"/>
        <w:rPr>
          <w:rFonts w:eastAsia="SimSun"/>
          <w:color w:val="3C3C3C"/>
        </w:rPr>
      </w:pPr>
      <w:r w:rsidRPr="00394C86">
        <w:rPr>
          <w:rFonts w:eastAsia="SimSun"/>
          <w:color w:val="3C3C3C"/>
        </w:rPr>
        <w:t>u</w:t>
      </w:r>
      <w:r w:rsidR="006734E5" w:rsidRPr="00394C86">
        <w:rPr>
          <w:rFonts w:eastAsia="SimSun"/>
          <w:color w:val="3C3C3C"/>
        </w:rPr>
        <w:t xml:space="preserve">sing a mix of methods and gathering information from a range of sources; </w:t>
      </w:r>
      <w:r w:rsidRPr="00394C86">
        <w:rPr>
          <w:rFonts w:eastAsia="SimSun"/>
          <w:color w:val="3C3C3C"/>
        </w:rPr>
        <w:t>and</w:t>
      </w:r>
    </w:p>
    <w:p w14:paraId="525B8434" w14:textId="075D73A3" w:rsidR="006734E5" w:rsidRPr="00394C86" w:rsidRDefault="00C042F3" w:rsidP="006734E5">
      <w:pPr>
        <w:numPr>
          <w:ilvl w:val="0"/>
          <w:numId w:val="25"/>
        </w:numPr>
        <w:spacing w:after="0" w:line="276" w:lineRule="auto"/>
        <w:ind w:left="714" w:hanging="357"/>
        <w:jc w:val="both"/>
        <w:rPr>
          <w:rFonts w:eastAsia="SimSun"/>
          <w:color w:val="3C3C3C"/>
        </w:rPr>
      </w:pPr>
      <w:r w:rsidRPr="00394C86">
        <w:rPr>
          <w:rFonts w:eastAsia="SimSun"/>
          <w:color w:val="3C3C3C"/>
        </w:rPr>
        <w:t>c</w:t>
      </w:r>
      <w:r w:rsidR="006734E5" w:rsidRPr="00394C86">
        <w:rPr>
          <w:rFonts w:eastAsia="SimSun"/>
          <w:color w:val="3C3C3C"/>
        </w:rPr>
        <w:t xml:space="preserve">ollecting baseline information for a small selection of outcomes and maintaining flexibility within the M&amp;E approach to accommodate the likely changes in project design.  </w:t>
      </w:r>
    </w:p>
    <w:p w14:paraId="1BEB922D" w14:textId="597164B5" w:rsidR="006734E5" w:rsidRPr="00394C86" w:rsidRDefault="006734E5" w:rsidP="006734E5">
      <w:pPr>
        <w:jc w:val="both"/>
        <w:rPr>
          <w:rFonts w:eastAsia="SimSun"/>
          <w:color w:val="3C3C3C"/>
        </w:rPr>
      </w:pPr>
      <w:r w:rsidRPr="00394C86">
        <w:rPr>
          <w:rFonts w:eastAsia="SimSun"/>
          <w:color w:val="3C3C3C"/>
        </w:rPr>
        <w:t xml:space="preserve">NGOs were also required to identify the existing strengths and weaknesses in their partners' M&amp;E systems and identify how this capacity would be built through the project. Five </w:t>
      </w:r>
      <w:r w:rsidR="00524F9E" w:rsidRPr="00394C86">
        <w:rPr>
          <w:rFonts w:eastAsia="SimSun"/>
          <w:color w:val="3C3C3C"/>
        </w:rPr>
        <w:t>per cent</w:t>
      </w:r>
      <w:r w:rsidRPr="00394C86">
        <w:rPr>
          <w:rFonts w:eastAsia="SimSun"/>
          <w:color w:val="3C3C3C"/>
        </w:rPr>
        <w:t xml:space="preserve"> of the total AHP NGO budget was required to be spent in-country to support and strengthen local partners</w:t>
      </w:r>
      <w:r w:rsidR="00A6519C" w:rsidRPr="00394C86">
        <w:rPr>
          <w:rFonts w:eastAsia="SimSun"/>
          <w:color w:val="3C3C3C"/>
        </w:rPr>
        <w:t>’</w:t>
      </w:r>
      <w:r w:rsidRPr="00394C86">
        <w:rPr>
          <w:rFonts w:eastAsia="SimSun"/>
          <w:color w:val="3C3C3C"/>
        </w:rPr>
        <w:t xml:space="preserve"> M&amp;E.</w:t>
      </w:r>
      <w:r w:rsidR="00921E6E">
        <w:rPr>
          <w:rFonts w:eastAsia="SimSun"/>
          <w:color w:val="3C3C3C"/>
        </w:rPr>
        <w:br/>
      </w:r>
    </w:p>
    <w:p w14:paraId="37538AE3" w14:textId="6626D00C" w:rsidR="006734E5" w:rsidRPr="00FA20DE" w:rsidRDefault="006734E5" w:rsidP="009603A4">
      <w:pPr>
        <w:pStyle w:val="Heading2"/>
        <w:rPr>
          <w:rFonts w:ascii="Calibri" w:hAnsi="Calibri" w:cs="Calibri"/>
        </w:rPr>
      </w:pPr>
      <w:bookmarkStart w:id="48" w:name="_Toc501451682"/>
      <w:r w:rsidRPr="00FA20DE">
        <w:rPr>
          <w:rFonts w:ascii="Calibri" w:hAnsi="Calibri" w:cs="Calibri"/>
        </w:rPr>
        <w:t>Quality A</w:t>
      </w:r>
      <w:r w:rsidR="00823FB9" w:rsidRPr="00FA20DE">
        <w:rPr>
          <w:rFonts w:ascii="Calibri" w:hAnsi="Calibri" w:cs="Calibri"/>
        </w:rPr>
        <w:t>s</w:t>
      </w:r>
      <w:r w:rsidRPr="00FA20DE">
        <w:rPr>
          <w:rFonts w:ascii="Calibri" w:hAnsi="Calibri" w:cs="Calibri"/>
        </w:rPr>
        <w:t>surance</w:t>
      </w:r>
      <w:bookmarkEnd w:id="48"/>
      <w:r w:rsidRPr="00FA20DE">
        <w:rPr>
          <w:rFonts w:ascii="Calibri" w:hAnsi="Calibri" w:cs="Calibri"/>
        </w:rPr>
        <w:t xml:space="preserve"> </w:t>
      </w:r>
    </w:p>
    <w:p w14:paraId="1B03E555" w14:textId="77777777" w:rsidR="006734E5" w:rsidRPr="00394C86" w:rsidRDefault="006734E5" w:rsidP="006734E5">
      <w:pPr>
        <w:spacing w:after="0" w:line="240" w:lineRule="auto"/>
        <w:rPr>
          <w:rFonts w:eastAsia="Times New Roman"/>
          <w:color w:val="3C3C3C"/>
        </w:rPr>
      </w:pPr>
      <w:r w:rsidRPr="00394C86">
        <w:rPr>
          <w:rFonts w:eastAsia="Times New Roman"/>
          <w:color w:val="3C3C3C"/>
        </w:rPr>
        <w:t>There will be several quality assurance mechanisms used within Disaster READY. These include:</w:t>
      </w:r>
    </w:p>
    <w:p w14:paraId="7F81B090" w14:textId="77777777" w:rsidR="006734E5" w:rsidRPr="00394C86" w:rsidRDefault="006734E5" w:rsidP="006734E5">
      <w:pPr>
        <w:spacing w:after="0" w:line="240" w:lineRule="auto"/>
        <w:rPr>
          <w:rFonts w:eastAsia="Times New Roman"/>
          <w:color w:val="3C3C3C"/>
        </w:rPr>
      </w:pPr>
    </w:p>
    <w:p w14:paraId="2D5F777B" w14:textId="2515CF5F" w:rsidR="006734E5" w:rsidRPr="00394C86" w:rsidRDefault="006734E5" w:rsidP="006734E5">
      <w:pPr>
        <w:numPr>
          <w:ilvl w:val="0"/>
          <w:numId w:val="28"/>
        </w:numPr>
        <w:spacing w:after="0" w:line="276" w:lineRule="auto"/>
        <w:contextualSpacing/>
        <w:rPr>
          <w:rFonts w:eastAsia="Corbel"/>
          <w:color w:val="3C3C3C"/>
        </w:rPr>
      </w:pPr>
      <w:r w:rsidRPr="00394C86">
        <w:rPr>
          <w:rFonts w:eastAsia="Corbel"/>
          <w:b/>
          <w:color w:val="3C3C3C"/>
        </w:rPr>
        <w:t>Review of the NGOs’ M&amp;E systems</w:t>
      </w:r>
      <w:r w:rsidRPr="00394C86">
        <w:rPr>
          <w:rFonts w:eastAsia="Corbel"/>
          <w:color w:val="3C3C3C"/>
        </w:rPr>
        <w:t xml:space="preserve"> – this will be facilitated by the </w:t>
      </w:r>
      <w:r w:rsidR="001B44A2" w:rsidRPr="00394C86">
        <w:rPr>
          <w:rFonts w:eastAsia="Corbel"/>
          <w:color w:val="3C3C3C"/>
        </w:rPr>
        <w:t>AHP SU</w:t>
      </w:r>
      <w:r w:rsidR="00A6519C" w:rsidRPr="00394C86">
        <w:rPr>
          <w:rFonts w:eastAsia="Corbel"/>
          <w:color w:val="3C3C3C"/>
        </w:rPr>
        <w:t xml:space="preserve"> in Year 1</w:t>
      </w:r>
      <w:r w:rsidRPr="00394C86">
        <w:rPr>
          <w:rFonts w:eastAsia="Corbel"/>
          <w:color w:val="3C3C3C"/>
        </w:rPr>
        <w:t xml:space="preserve">. The purpose of the review is to ensure the quality of data collected in relation to Disaster READY core outcomes and indicators. The review </w:t>
      </w:r>
      <w:r w:rsidR="00A6519C" w:rsidRPr="00394C86">
        <w:rPr>
          <w:rFonts w:eastAsia="Corbel"/>
          <w:color w:val="3C3C3C"/>
        </w:rPr>
        <w:t xml:space="preserve">will </w:t>
      </w:r>
      <w:r w:rsidRPr="00394C86">
        <w:rPr>
          <w:rFonts w:eastAsia="Corbel"/>
          <w:color w:val="3C3C3C"/>
        </w:rPr>
        <w:t xml:space="preserve">examine the quality of the baselines collected by the NGOs, the data collection and analysis processes, and other requirements noted in the design guidelines (e.g. involvement of marginalised groups in sense-making processes). The review </w:t>
      </w:r>
      <w:r w:rsidR="00A6519C" w:rsidRPr="00394C86">
        <w:rPr>
          <w:rFonts w:eastAsia="Corbel"/>
          <w:color w:val="3C3C3C"/>
        </w:rPr>
        <w:t xml:space="preserve">will </w:t>
      </w:r>
      <w:r w:rsidRPr="00394C86">
        <w:rPr>
          <w:rFonts w:eastAsia="Corbel"/>
          <w:color w:val="3C3C3C"/>
        </w:rPr>
        <w:t xml:space="preserve">be facilitated by the AHP SU M&amp;E Manager and provide </w:t>
      </w:r>
      <w:r w:rsidR="00A6519C" w:rsidRPr="00394C86">
        <w:rPr>
          <w:rFonts w:eastAsia="Corbel"/>
          <w:color w:val="3C3C3C"/>
        </w:rPr>
        <w:t xml:space="preserve">an </w:t>
      </w:r>
      <w:r w:rsidRPr="00394C86">
        <w:rPr>
          <w:rFonts w:eastAsia="Corbel"/>
          <w:color w:val="3C3C3C"/>
        </w:rPr>
        <w:t xml:space="preserve">opportunity for NGOs to peer review and learn from each other’s M&amp;E approaches.  </w:t>
      </w:r>
    </w:p>
    <w:p w14:paraId="42776434" w14:textId="77777777" w:rsidR="006734E5" w:rsidRPr="00394C86" w:rsidRDefault="006734E5" w:rsidP="006734E5">
      <w:pPr>
        <w:spacing w:after="0" w:line="276" w:lineRule="auto"/>
        <w:ind w:left="720"/>
        <w:contextualSpacing/>
        <w:rPr>
          <w:rFonts w:eastAsia="Corbel"/>
          <w:color w:val="3C3C3C"/>
        </w:rPr>
      </w:pPr>
    </w:p>
    <w:p w14:paraId="794BF368" w14:textId="50C13126" w:rsidR="006734E5" w:rsidRPr="00394C86" w:rsidRDefault="006734E5" w:rsidP="006734E5">
      <w:pPr>
        <w:numPr>
          <w:ilvl w:val="0"/>
          <w:numId w:val="28"/>
        </w:numPr>
        <w:spacing w:after="0" w:line="276" w:lineRule="auto"/>
        <w:contextualSpacing/>
        <w:rPr>
          <w:rFonts w:eastAsia="Corbel"/>
          <w:color w:val="3C3C3C"/>
        </w:rPr>
      </w:pPr>
      <w:r w:rsidRPr="00394C86">
        <w:rPr>
          <w:rFonts w:eastAsia="Corbel"/>
          <w:b/>
          <w:color w:val="3C3C3C"/>
        </w:rPr>
        <w:lastRenderedPageBreak/>
        <w:t xml:space="preserve">Annual review of NGO progress reports and proposals, and </w:t>
      </w:r>
      <w:r w:rsidR="009D0B2B" w:rsidRPr="00394C86">
        <w:rPr>
          <w:rFonts w:eastAsia="Corbel"/>
          <w:b/>
          <w:color w:val="3C3C3C"/>
        </w:rPr>
        <w:t>Country Committee</w:t>
      </w:r>
      <w:r w:rsidRPr="00394C86">
        <w:rPr>
          <w:rFonts w:eastAsia="Corbel"/>
          <w:b/>
          <w:color w:val="3C3C3C"/>
        </w:rPr>
        <w:t xml:space="preserve"> social inclusion proposals:</w:t>
      </w:r>
    </w:p>
    <w:p w14:paraId="71C5D8C9" w14:textId="673C4C45" w:rsidR="006734E5" w:rsidRPr="00394C86" w:rsidRDefault="006734E5" w:rsidP="006734E5">
      <w:pPr>
        <w:numPr>
          <w:ilvl w:val="1"/>
          <w:numId w:val="28"/>
        </w:numPr>
        <w:spacing w:after="0" w:line="276" w:lineRule="auto"/>
        <w:contextualSpacing/>
        <w:rPr>
          <w:rFonts w:eastAsia="Corbel"/>
          <w:color w:val="3C3C3C"/>
        </w:rPr>
      </w:pPr>
      <w:r w:rsidRPr="00394C86">
        <w:rPr>
          <w:rFonts w:eastAsia="Corbel"/>
          <w:b/>
          <w:color w:val="3C3C3C"/>
        </w:rPr>
        <w:t>DFAT review of NGO annual progress reports and proposals</w:t>
      </w:r>
      <w:r w:rsidRPr="00394C86">
        <w:rPr>
          <w:rFonts w:eastAsia="Corbel"/>
          <w:color w:val="3C3C3C"/>
        </w:rPr>
        <w:t xml:space="preserve"> – DFAT will review the NGOs’ annual reports to assess their performance, </w:t>
      </w:r>
      <w:r w:rsidR="002432AC" w:rsidRPr="00394C86">
        <w:rPr>
          <w:rFonts w:eastAsia="Corbel"/>
          <w:color w:val="3C3C3C"/>
        </w:rPr>
        <w:t xml:space="preserve">to </w:t>
      </w:r>
      <w:r w:rsidRPr="00394C86">
        <w:rPr>
          <w:rFonts w:eastAsia="Corbel"/>
          <w:color w:val="3C3C3C"/>
        </w:rPr>
        <w:t xml:space="preserve">monitor against risks and safeguards, and to inform the approval of the NGOs’ proposals for the following year. DFAT </w:t>
      </w:r>
      <w:r w:rsidR="002432AC" w:rsidRPr="00394C86">
        <w:rPr>
          <w:rFonts w:eastAsia="Corbel"/>
          <w:color w:val="3C3C3C"/>
        </w:rPr>
        <w:t xml:space="preserve">will </w:t>
      </w:r>
      <w:r w:rsidRPr="00394C86">
        <w:rPr>
          <w:rFonts w:eastAsia="Corbel"/>
          <w:color w:val="3C3C3C"/>
        </w:rPr>
        <w:t xml:space="preserve">also assess whether there were sufficient results, engagement from and with Post, and coordination between the NGOs to continue funding the activities in each country. The DFAT Humanitarian Preparedness and Response Section will coordinate this review on an annual basis. Feedback will also be sought from Pacific Posts, Pacific Sections and relevant thematic areas. Once agreed, the proposals </w:t>
      </w:r>
      <w:r w:rsidR="002432AC" w:rsidRPr="00394C86">
        <w:rPr>
          <w:rFonts w:eastAsia="Corbel"/>
          <w:color w:val="3C3C3C"/>
        </w:rPr>
        <w:t>will</w:t>
      </w:r>
      <w:r w:rsidRPr="00394C86">
        <w:rPr>
          <w:rFonts w:eastAsia="Corbel"/>
          <w:color w:val="3C3C3C"/>
        </w:rPr>
        <w:t xml:space="preserve"> be submitted to the FAS HPD or AS HMB (as outlined in the governance arrangements) for approval. </w:t>
      </w:r>
    </w:p>
    <w:p w14:paraId="4E1A8889" w14:textId="01A6C9C8" w:rsidR="006734E5" w:rsidRPr="00394C86" w:rsidRDefault="006734E5" w:rsidP="006734E5">
      <w:pPr>
        <w:numPr>
          <w:ilvl w:val="1"/>
          <w:numId w:val="28"/>
        </w:numPr>
        <w:spacing w:after="0" w:line="276" w:lineRule="auto"/>
        <w:contextualSpacing/>
        <w:rPr>
          <w:rFonts w:eastAsia="Corbel"/>
          <w:color w:val="3C3C3C"/>
        </w:rPr>
      </w:pPr>
      <w:r w:rsidRPr="00394C86">
        <w:rPr>
          <w:rFonts w:eastAsia="Corbel"/>
          <w:b/>
          <w:color w:val="3C3C3C"/>
        </w:rPr>
        <w:t xml:space="preserve">DFAT review of </w:t>
      </w:r>
      <w:r w:rsidR="00F83E02" w:rsidRPr="00394C86">
        <w:rPr>
          <w:rFonts w:eastAsia="Corbel"/>
          <w:b/>
          <w:color w:val="3C3C3C"/>
        </w:rPr>
        <w:t>shared s</w:t>
      </w:r>
      <w:r w:rsidR="00BF1A40" w:rsidRPr="00394C86">
        <w:rPr>
          <w:rFonts w:eastAsia="Corbel"/>
          <w:b/>
          <w:color w:val="3C3C3C"/>
        </w:rPr>
        <w:t>ervices</w:t>
      </w:r>
      <w:r w:rsidRPr="00394C86">
        <w:rPr>
          <w:rFonts w:eastAsia="Corbel"/>
          <w:b/>
          <w:color w:val="3C3C3C"/>
        </w:rPr>
        <w:t xml:space="preserve"> (social inclusion) proposals </w:t>
      </w:r>
      <w:r w:rsidRPr="00394C86">
        <w:rPr>
          <w:rFonts w:eastAsia="Corbel"/>
          <w:color w:val="3C3C3C"/>
        </w:rPr>
        <w:t>– Concurrently</w:t>
      </w:r>
      <w:r w:rsidR="00C16B5A" w:rsidRPr="00394C86">
        <w:rPr>
          <w:rFonts w:eastAsia="Corbel"/>
          <w:color w:val="3C3C3C"/>
        </w:rPr>
        <w:t>,</w:t>
      </w:r>
      <w:r w:rsidRPr="00394C86">
        <w:rPr>
          <w:rFonts w:eastAsia="Corbel"/>
          <w:color w:val="3C3C3C"/>
        </w:rPr>
        <w:t xml:space="preserve"> the DFAT Humanitarian Preparedness and Response Section will also review the social inclusion proposals from the </w:t>
      </w:r>
      <w:r w:rsidR="009D0B2B" w:rsidRPr="00394C86">
        <w:rPr>
          <w:rFonts w:eastAsia="Corbel"/>
          <w:color w:val="3C3C3C"/>
        </w:rPr>
        <w:t>Country Committee</w:t>
      </w:r>
      <w:r w:rsidRPr="00394C86">
        <w:rPr>
          <w:rFonts w:eastAsia="Corbel"/>
          <w:color w:val="3C3C3C"/>
        </w:rPr>
        <w:t>s. Feedback will be sought from Pacific Posts and relevant thematic areas as required.</w:t>
      </w:r>
    </w:p>
    <w:p w14:paraId="6AF4D0CD" w14:textId="32A46BD9" w:rsidR="006734E5" w:rsidRPr="00394C86" w:rsidRDefault="006734E5" w:rsidP="006734E5">
      <w:pPr>
        <w:numPr>
          <w:ilvl w:val="1"/>
          <w:numId w:val="28"/>
        </w:numPr>
        <w:spacing w:after="0" w:line="276" w:lineRule="auto"/>
        <w:contextualSpacing/>
        <w:rPr>
          <w:rFonts w:eastAsia="Corbel"/>
          <w:color w:val="3C3C3C"/>
        </w:rPr>
      </w:pPr>
      <w:r w:rsidRPr="00394C86">
        <w:rPr>
          <w:rFonts w:eastAsia="Corbel"/>
          <w:b/>
          <w:color w:val="3C3C3C"/>
        </w:rPr>
        <w:t xml:space="preserve">NGO peer review – NGOs will also peer review each other’s progress reports </w:t>
      </w:r>
      <w:r w:rsidRPr="00394C86">
        <w:rPr>
          <w:rFonts w:eastAsia="Corbel"/>
          <w:color w:val="3C3C3C"/>
        </w:rPr>
        <w:t>and proposed activity plans at the country review in September/October each year and at the regional learning event.</w:t>
      </w:r>
    </w:p>
    <w:p w14:paraId="4CFB2AEE" w14:textId="77777777" w:rsidR="006734E5" w:rsidRPr="00394C86" w:rsidRDefault="006734E5" w:rsidP="006734E5">
      <w:pPr>
        <w:spacing w:after="0" w:line="276" w:lineRule="auto"/>
        <w:ind w:left="1440"/>
        <w:contextualSpacing/>
        <w:rPr>
          <w:rFonts w:eastAsia="Corbel"/>
          <w:color w:val="3C3C3C"/>
        </w:rPr>
      </w:pPr>
    </w:p>
    <w:p w14:paraId="5AAABA03" w14:textId="33C73B5B" w:rsidR="006734E5" w:rsidRPr="00394C86" w:rsidRDefault="006734E5" w:rsidP="006734E5">
      <w:pPr>
        <w:numPr>
          <w:ilvl w:val="0"/>
          <w:numId w:val="28"/>
        </w:numPr>
        <w:spacing w:after="0" w:line="276" w:lineRule="auto"/>
        <w:contextualSpacing/>
        <w:rPr>
          <w:rFonts w:eastAsia="SimSun"/>
          <w:color w:val="3C3C3C"/>
        </w:rPr>
      </w:pPr>
      <w:r w:rsidRPr="00394C86">
        <w:rPr>
          <w:rFonts w:eastAsia="Corbel"/>
          <w:b/>
          <w:color w:val="3C3C3C"/>
        </w:rPr>
        <w:t>Independent review</w:t>
      </w:r>
      <w:r w:rsidRPr="00394C86">
        <w:rPr>
          <w:rFonts w:eastAsia="Corbel"/>
          <w:color w:val="3C3C3C"/>
        </w:rPr>
        <w:t xml:space="preserve"> – as noted earlier, DFAT will commission an independent review of the program during </w:t>
      </w:r>
      <w:r w:rsidR="004E09BA" w:rsidRPr="00394C86">
        <w:rPr>
          <w:rFonts w:eastAsia="Corbel"/>
          <w:color w:val="3C3C3C"/>
        </w:rPr>
        <w:t>Year 4</w:t>
      </w:r>
      <w:r w:rsidRPr="00394C86">
        <w:rPr>
          <w:rFonts w:eastAsia="Corbel"/>
          <w:color w:val="3C3C3C"/>
        </w:rPr>
        <w:t xml:space="preserve">. The review </w:t>
      </w:r>
      <w:r w:rsidR="00C16B5A" w:rsidRPr="00394C86">
        <w:rPr>
          <w:rFonts w:eastAsia="Corbel"/>
          <w:color w:val="3C3C3C"/>
        </w:rPr>
        <w:t xml:space="preserve">will </w:t>
      </w:r>
      <w:r w:rsidRPr="00394C86">
        <w:rPr>
          <w:rFonts w:eastAsia="Corbel"/>
          <w:color w:val="3C3C3C"/>
        </w:rPr>
        <w:t xml:space="preserve">assess the program against the key evaluation questions. The NGOs </w:t>
      </w:r>
      <w:r w:rsidR="00C16B5A" w:rsidRPr="00394C86">
        <w:rPr>
          <w:rFonts w:eastAsia="Corbel"/>
          <w:color w:val="3C3C3C"/>
        </w:rPr>
        <w:t xml:space="preserve">will </w:t>
      </w:r>
      <w:r w:rsidRPr="00394C86">
        <w:rPr>
          <w:rFonts w:eastAsia="Corbel"/>
          <w:color w:val="3C3C3C"/>
        </w:rPr>
        <w:t xml:space="preserve">be required to allocate time to participate in the review. The evaluation team </w:t>
      </w:r>
      <w:r w:rsidR="00C16B5A" w:rsidRPr="00394C86">
        <w:rPr>
          <w:rFonts w:eastAsia="Corbel"/>
          <w:color w:val="3C3C3C"/>
        </w:rPr>
        <w:t xml:space="preserve">will </w:t>
      </w:r>
      <w:r w:rsidRPr="00394C86">
        <w:rPr>
          <w:rFonts w:eastAsia="Corbel"/>
          <w:color w:val="3C3C3C"/>
        </w:rPr>
        <w:t>be funded from a separate DFAT budget.</w:t>
      </w:r>
      <w:r w:rsidR="00921E6E">
        <w:rPr>
          <w:rFonts w:eastAsia="Corbel"/>
          <w:color w:val="3C3C3C"/>
        </w:rPr>
        <w:br/>
      </w:r>
    </w:p>
    <w:p w14:paraId="69A84243" w14:textId="77777777" w:rsidR="006734E5" w:rsidRPr="00FA20DE" w:rsidRDefault="006734E5" w:rsidP="00FA20DE">
      <w:pPr>
        <w:pStyle w:val="Heading2"/>
      </w:pPr>
      <w:bookmarkStart w:id="49" w:name="_Toc501451683"/>
      <w:r w:rsidRPr="00FA20DE">
        <w:t>Timeline for M&amp;E and reporting milestones</w:t>
      </w:r>
      <w:bookmarkEnd w:id="49"/>
      <w:r w:rsidRPr="00FA20DE">
        <w:t xml:space="preserve"> </w:t>
      </w:r>
    </w:p>
    <w:p w14:paraId="2AE939B6" w14:textId="4558B2AB" w:rsidR="006734E5" w:rsidRPr="00A048D6" w:rsidRDefault="006734E5" w:rsidP="00FA20DE">
      <w:r w:rsidRPr="00394C86">
        <w:rPr>
          <w:color w:val="3C3C3C" w:themeColor="background2" w:themeShade="40"/>
        </w:rPr>
        <w:t xml:space="preserve">A summary of the major milestones relating to M&amp;E are outlined in </w:t>
      </w:r>
      <w:r w:rsidRPr="00A048D6">
        <w:rPr>
          <w:color w:val="3C3C3C" w:themeColor="background2" w:themeShade="40"/>
        </w:rPr>
        <w:fldChar w:fldCharType="begin"/>
      </w:r>
      <w:r w:rsidRPr="00394C86">
        <w:rPr>
          <w:color w:val="3C3C3C" w:themeColor="background2" w:themeShade="40"/>
        </w:rPr>
        <w:instrText xml:space="preserve"> REF _Ref501115889 \h </w:instrText>
      </w:r>
      <w:r w:rsidR="00394C86">
        <w:rPr>
          <w:color w:val="3C3C3C" w:themeColor="background2" w:themeShade="40"/>
        </w:rPr>
        <w:instrText xml:space="preserve"> \* MERGEFORMAT </w:instrText>
      </w:r>
      <w:r w:rsidRPr="00A048D6">
        <w:rPr>
          <w:color w:val="3C3C3C" w:themeColor="background2" w:themeShade="40"/>
        </w:rPr>
      </w:r>
      <w:r w:rsidRPr="00A048D6">
        <w:rPr>
          <w:color w:val="3C3C3C" w:themeColor="background2" w:themeShade="40"/>
        </w:rPr>
        <w:fldChar w:fldCharType="separate"/>
      </w:r>
      <w:r w:rsidR="00797A9B" w:rsidRPr="00797A9B">
        <w:rPr>
          <w:color w:val="3C3C3C" w:themeColor="background2" w:themeShade="40"/>
        </w:rPr>
        <w:t xml:space="preserve">Table </w:t>
      </w:r>
      <w:r w:rsidR="00797A9B" w:rsidRPr="00797A9B">
        <w:rPr>
          <w:noProof/>
          <w:color w:val="3C3C3C" w:themeColor="background2" w:themeShade="40"/>
        </w:rPr>
        <w:t>3</w:t>
      </w:r>
      <w:r w:rsidRPr="00A048D6">
        <w:rPr>
          <w:color w:val="3C3C3C" w:themeColor="background2" w:themeShade="40"/>
        </w:rPr>
        <w:fldChar w:fldCharType="end"/>
      </w:r>
      <w:r w:rsidRPr="00394C86">
        <w:rPr>
          <w:color w:val="3C3C3C" w:themeColor="background2" w:themeShade="40"/>
        </w:rPr>
        <w:t xml:space="preserve"> below. Key planning milestones are included in italics.</w:t>
      </w:r>
      <w:r w:rsidR="00921E6E">
        <w:br/>
      </w:r>
      <w:r w:rsidR="00921E6E">
        <w:br/>
      </w:r>
      <w:bookmarkStart w:id="50" w:name="_Ref501115889"/>
      <w:r w:rsidRPr="00A048D6">
        <w:t xml:space="preserve">Table </w:t>
      </w:r>
      <w:fldSimple w:instr=" SEQ Table \* ARABIC ">
        <w:r w:rsidR="00797A9B">
          <w:rPr>
            <w:noProof/>
          </w:rPr>
          <w:t>3</w:t>
        </w:r>
      </w:fldSimple>
      <w:bookmarkEnd w:id="50"/>
      <w:r w:rsidRPr="00A048D6">
        <w:t xml:space="preserve"> M&amp;E and reporting milestones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284"/>
        <w:gridCol w:w="2066"/>
      </w:tblGrid>
      <w:tr w:rsidR="006734E5" w:rsidRPr="00B96967" w14:paraId="36508C36" w14:textId="77777777" w:rsidTr="009603A4">
        <w:trPr>
          <w:trHeight w:val="377"/>
        </w:trPr>
        <w:tc>
          <w:tcPr>
            <w:tcW w:w="3895" w:type="pct"/>
            <w:shd w:val="clear" w:color="auto" w:fill="auto"/>
            <w:tcMar>
              <w:top w:w="72" w:type="dxa"/>
              <w:left w:w="144" w:type="dxa"/>
              <w:bottom w:w="72" w:type="dxa"/>
              <w:right w:w="144" w:type="dxa"/>
            </w:tcMar>
          </w:tcPr>
          <w:p w14:paraId="5057BC4E" w14:textId="77777777" w:rsidR="006734E5" w:rsidRPr="00B96967" w:rsidRDefault="006734E5" w:rsidP="00D97771">
            <w:pPr>
              <w:spacing w:after="0" w:line="240" w:lineRule="auto"/>
              <w:rPr>
                <w:rFonts w:eastAsia="Times New Roman"/>
                <w:b/>
                <w:sz w:val="20"/>
                <w:lang w:eastAsia="en-AU"/>
              </w:rPr>
            </w:pPr>
            <w:r w:rsidRPr="00B96967">
              <w:rPr>
                <w:rFonts w:eastAsia="Times New Roman"/>
                <w:b/>
                <w:sz w:val="20"/>
                <w:lang w:eastAsia="en-AU"/>
              </w:rPr>
              <w:t>M&amp;E and reporting milestone</w:t>
            </w:r>
          </w:p>
        </w:tc>
        <w:tc>
          <w:tcPr>
            <w:tcW w:w="1105" w:type="pct"/>
            <w:shd w:val="clear" w:color="auto" w:fill="auto"/>
            <w:tcMar>
              <w:top w:w="72" w:type="dxa"/>
              <w:left w:w="144" w:type="dxa"/>
              <w:bottom w:w="72" w:type="dxa"/>
              <w:right w:w="144" w:type="dxa"/>
            </w:tcMar>
          </w:tcPr>
          <w:p w14:paraId="50DFD739" w14:textId="77777777" w:rsidR="006734E5" w:rsidRPr="00B96967" w:rsidRDefault="006734E5" w:rsidP="00D97771">
            <w:pPr>
              <w:spacing w:after="0" w:line="240" w:lineRule="auto"/>
              <w:rPr>
                <w:rFonts w:eastAsia="Times New Roman"/>
                <w:b/>
                <w:sz w:val="20"/>
                <w:lang w:eastAsia="en-AU"/>
              </w:rPr>
            </w:pPr>
            <w:r w:rsidRPr="00B96967">
              <w:rPr>
                <w:rFonts w:eastAsia="Times New Roman"/>
                <w:b/>
                <w:sz w:val="20"/>
                <w:lang w:eastAsia="en-AU"/>
              </w:rPr>
              <w:t>Date</w:t>
            </w:r>
          </w:p>
        </w:tc>
      </w:tr>
      <w:tr w:rsidR="006734E5" w:rsidRPr="00B96967" w14:paraId="130BF15C" w14:textId="77777777" w:rsidTr="009603A4">
        <w:trPr>
          <w:trHeight w:val="377"/>
        </w:trPr>
        <w:tc>
          <w:tcPr>
            <w:tcW w:w="3895" w:type="pct"/>
            <w:shd w:val="clear" w:color="auto" w:fill="auto"/>
            <w:tcMar>
              <w:top w:w="72" w:type="dxa"/>
              <w:left w:w="144" w:type="dxa"/>
              <w:bottom w:w="72" w:type="dxa"/>
              <w:right w:w="144" w:type="dxa"/>
            </w:tcMar>
            <w:hideMark/>
          </w:tcPr>
          <w:p w14:paraId="4B1FB9AD" w14:textId="77777777" w:rsidR="006734E5" w:rsidRPr="00B96967" w:rsidRDefault="006734E5" w:rsidP="00D97771">
            <w:pPr>
              <w:spacing w:after="0" w:line="240" w:lineRule="auto"/>
              <w:rPr>
                <w:rFonts w:eastAsia="Times New Roman"/>
                <w:color w:val="2C2C2C" w:themeColor="dark1"/>
                <w:kern w:val="24"/>
                <w:sz w:val="20"/>
                <w:lang w:eastAsia="en-AU"/>
              </w:rPr>
            </w:pPr>
            <w:r w:rsidRPr="00B96967">
              <w:rPr>
                <w:rFonts w:eastAsia="Times New Roman"/>
                <w:color w:val="2C2C2C" w:themeColor="dark1"/>
                <w:kern w:val="24"/>
                <w:sz w:val="20"/>
                <w:lang w:eastAsia="en-AU"/>
              </w:rPr>
              <w:t>Country Review, Learning and Planning Forums (2 days)</w:t>
            </w:r>
          </w:p>
          <w:p w14:paraId="1B22F552" w14:textId="3A8E81E5" w:rsidR="006734E5" w:rsidRPr="00B96967" w:rsidRDefault="00B966C9" w:rsidP="00B966C9">
            <w:pPr>
              <w:spacing w:after="0" w:line="240" w:lineRule="auto"/>
              <w:rPr>
                <w:rFonts w:eastAsia="Times New Roman"/>
                <w:sz w:val="20"/>
                <w:lang w:eastAsia="en-AU"/>
              </w:rPr>
            </w:pPr>
            <w:r w:rsidRPr="00B96967">
              <w:rPr>
                <w:rFonts w:eastAsia="Times New Roman"/>
                <w:color w:val="2C2C2C" w:themeColor="dark1"/>
                <w:kern w:val="24"/>
                <w:sz w:val="20"/>
                <w:lang w:eastAsia="en-AU"/>
              </w:rPr>
              <w:t>Year 1</w:t>
            </w:r>
            <w:r w:rsidR="006734E5" w:rsidRPr="00B96967">
              <w:rPr>
                <w:rFonts w:eastAsia="Times New Roman"/>
                <w:color w:val="2C2C2C" w:themeColor="dark1"/>
                <w:kern w:val="24"/>
                <w:sz w:val="20"/>
                <w:lang w:eastAsia="en-AU"/>
              </w:rPr>
              <w:t xml:space="preserve"> includes review of NGOs’ M&amp;E systems (+1 day)</w:t>
            </w:r>
          </w:p>
        </w:tc>
        <w:tc>
          <w:tcPr>
            <w:tcW w:w="1105" w:type="pct"/>
            <w:shd w:val="clear" w:color="auto" w:fill="auto"/>
            <w:tcMar>
              <w:top w:w="72" w:type="dxa"/>
              <w:left w:w="144" w:type="dxa"/>
              <w:bottom w:w="72" w:type="dxa"/>
              <w:right w:w="144" w:type="dxa"/>
            </w:tcMar>
            <w:hideMark/>
          </w:tcPr>
          <w:p w14:paraId="272A0B9B" w14:textId="0819F514" w:rsidR="006734E5" w:rsidRPr="00B96967" w:rsidRDefault="006734E5" w:rsidP="00D97771">
            <w:pPr>
              <w:spacing w:after="0" w:line="240" w:lineRule="auto"/>
              <w:rPr>
                <w:rFonts w:eastAsia="Times New Roman"/>
                <w:sz w:val="20"/>
                <w:lang w:eastAsia="en-AU"/>
              </w:rPr>
            </w:pPr>
            <w:r w:rsidRPr="00B96967">
              <w:rPr>
                <w:rFonts w:eastAsia="Times New Roman"/>
                <w:color w:val="2C2C2C" w:themeColor="dark1"/>
                <w:kern w:val="24"/>
                <w:sz w:val="20"/>
                <w:lang w:eastAsia="en-AU"/>
              </w:rPr>
              <w:t xml:space="preserve">Sep </w:t>
            </w:r>
            <w:r w:rsidR="00C16B5A" w:rsidRPr="00B96967">
              <w:rPr>
                <w:rFonts w:eastAsia="Times New Roman"/>
                <w:color w:val="2C2C2C" w:themeColor="dark1"/>
                <w:kern w:val="24"/>
                <w:sz w:val="20"/>
                <w:lang w:eastAsia="en-AU"/>
              </w:rPr>
              <w:t>/</w:t>
            </w:r>
            <w:r w:rsidRPr="00B96967">
              <w:rPr>
                <w:rFonts w:eastAsia="Times New Roman"/>
                <w:color w:val="2C2C2C" w:themeColor="dark1"/>
                <w:kern w:val="24"/>
                <w:sz w:val="20"/>
                <w:lang w:eastAsia="en-AU"/>
              </w:rPr>
              <w:t xml:space="preserve"> Oct</w:t>
            </w:r>
          </w:p>
        </w:tc>
      </w:tr>
      <w:tr w:rsidR="006734E5" w:rsidRPr="00B96967" w14:paraId="1A3F7A16" w14:textId="77777777" w:rsidTr="009603A4">
        <w:trPr>
          <w:trHeight w:val="817"/>
        </w:trPr>
        <w:tc>
          <w:tcPr>
            <w:tcW w:w="3895" w:type="pct"/>
            <w:shd w:val="clear" w:color="auto" w:fill="auto"/>
            <w:tcMar>
              <w:top w:w="72" w:type="dxa"/>
              <w:left w:w="144" w:type="dxa"/>
              <w:bottom w:w="72" w:type="dxa"/>
              <w:right w:w="144" w:type="dxa"/>
            </w:tcMar>
            <w:hideMark/>
          </w:tcPr>
          <w:p w14:paraId="4C3704CD" w14:textId="0C564C6F" w:rsidR="006734E5" w:rsidRPr="00B96967" w:rsidRDefault="006734E5" w:rsidP="00D97771">
            <w:pPr>
              <w:spacing w:after="0" w:line="240" w:lineRule="auto"/>
              <w:rPr>
                <w:rFonts w:eastAsia="Times New Roman"/>
                <w:color w:val="2C2C2C" w:themeColor="dark1"/>
                <w:kern w:val="24"/>
                <w:sz w:val="20"/>
                <w:lang w:eastAsia="en-AU"/>
              </w:rPr>
            </w:pPr>
            <w:r w:rsidRPr="00B96967">
              <w:rPr>
                <w:rFonts w:eastAsia="Times New Roman"/>
                <w:color w:val="2C2C2C" w:themeColor="dark1"/>
                <w:kern w:val="24"/>
                <w:sz w:val="20"/>
                <w:lang w:eastAsia="en-AU"/>
              </w:rPr>
              <w:t>NGOs submit annual reports (incl</w:t>
            </w:r>
            <w:r w:rsidR="009735C3" w:rsidRPr="00B96967">
              <w:rPr>
                <w:rFonts w:eastAsia="Times New Roman"/>
                <w:color w:val="2C2C2C" w:themeColor="dark1"/>
                <w:kern w:val="24"/>
                <w:sz w:val="20"/>
                <w:lang w:eastAsia="en-AU"/>
              </w:rPr>
              <w:t>.</w:t>
            </w:r>
            <w:r w:rsidRPr="00B96967">
              <w:rPr>
                <w:rFonts w:eastAsia="Times New Roman"/>
                <w:color w:val="2C2C2C" w:themeColor="dark1"/>
                <w:kern w:val="24"/>
                <w:sz w:val="20"/>
                <w:lang w:eastAsia="en-AU"/>
              </w:rPr>
              <w:t xml:space="preserve"> bridge funding) (Y</w:t>
            </w:r>
            <w:r w:rsidR="00B966C9" w:rsidRPr="00B96967">
              <w:rPr>
                <w:rFonts w:eastAsia="Times New Roman"/>
                <w:color w:val="2C2C2C" w:themeColor="dark1"/>
                <w:kern w:val="24"/>
                <w:sz w:val="20"/>
                <w:lang w:eastAsia="en-AU"/>
              </w:rPr>
              <w:t>ea</w:t>
            </w:r>
            <w:r w:rsidRPr="00B96967">
              <w:rPr>
                <w:rFonts w:eastAsia="Times New Roman"/>
                <w:color w:val="2C2C2C" w:themeColor="dark1"/>
                <w:kern w:val="24"/>
                <w:sz w:val="20"/>
                <w:lang w:eastAsia="en-AU"/>
              </w:rPr>
              <w:t xml:space="preserve">r 1 = Jan/Feb – 30 Sept) </w:t>
            </w:r>
          </w:p>
          <w:p w14:paraId="75C01705" w14:textId="66DBAD4C" w:rsidR="006734E5" w:rsidRPr="00B96967" w:rsidRDefault="006734E5" w:rsidP="00D97771">
            <w:pPr>
              <w:spacing w:after="0" w:line="240" w:lineRule="auto"/>
              <w:rPr>
                <w:rFonts w:eastAsia="Times New Roman"/>
                <w:color w:val="2C2C2C" w:themeColor="dark1"/>
                <w:kern w:val="24"/>
                <w:sz w:val="20"/>
                <w:lang w:eastAsia="en-AU"/>
              </w:rPr>
            </w:pPr>
            <w:r w:rsidRPr="00B96967">
              <w:rPr>
                <w:rFonts w:eastAsia="Times New Roman"/>
                <w:color w:val="2C2C2C" w:themeColor="dark1"/>
                <w:kern w:val="24"/>
                <w:sz w:val="20"/>
                <w:lang w:eastAsia="en-AU"/>
              </w:rPr>
              <w:t xml:space="preserve">Country Lead Coordinator submits brief </w:t>
            </w:r>
            <w:r w:rsidR="00B966C9" w:rsidRPr="00B96967">
              <w:rPr>
                <w:rFonts w:eastAsia="Times New Roman"/>
                <w:color w:val="2C2C2C" w:themeColor="dark1"/>
                <w:kern w:val="24"/>
                <w:sz w:val="20"/>
                <w:lang w:eastAsia="en-AU"/>
              </w:rPr>
              <w:t>shared s</w:t>
            </w:r>
            <w:r w:rsidR="00BF1A40" w:rsidRPr="00B96967">
              <w:rPr>
                <w:rFonts w:eastAsia="Times New Roman"/>
                <w:color w:val="2C2C2C" w:themeColor="dark1"/>
                <w:kern w:val="24"/>
                <w:sz w:val="20"/>
                <w:lang w:eastAsia="en-AU"/>
              </w:rPr>
              <w:t>ervices</w:t>
            </w:r>
            <w:r w:rsidRPr="00B96967">
              <w:rPr>
                <w:rFonts w:eastAsia="Times New Roman"/>
                <w:color w:val="2C2C2C" w:themeColor="dark1"/>
                <w:kern w:val="24"/>
                <w:sz w:val="20"/>
                <w:lang w:eastAsia="en-AU"/>
              </w:rPr>
              <w:t xml:space="preserve"> report</w:t>
            </w:r>
          </w:p>
          <w:p w14:paraId="6348CF61" w14:textId="11226076" w:rsidR="006734E5" w:rsidRPr="00B96967" w:rsidRDefault="006734E5" w:rsidP="00D97771">
            <w:pPr>
              <w:spacing w:after="0" w:line="240" w:lineRule="auto"/>
              <w:ind w:left="720"/>
              <w:rPr>
                <w:rFonts w:eastAsia="Times New Roman"/>
                <w:i/>
                <w:color w:val="2C2C2C" w:themeColor="dark1"/>
                <w:kern w:val="24"/>
                <w:sz w:val="20"/>
                <w:lang w:eastAsia="en-AU"/>
              </w:rPr>
            </w:pPr>
            <w:r w:rsidRPr="00B96967">
              <w:rPr>
                <w:rFonts w:eastAsia="Times New Roman"/>
                <w:i/>
                <w:color w:val="2C2C2C" w:themeColor="dark1"/>
                <w:kern w:val="24"/>
                <w:sz w:val="20"/>
                <w:lang w:eastAsia="en-AU"/>
              </w:rPr>
              <w:t xml:space="preserve">Proposals for NGO </w:t>
            </w:r>
            <w:r w:rsidR="009735C3" w:rsidRPr="00B96967">
              <w:rPr>
                <w:rFonts w:eastAsia="Times New Roman"/>
                <w:i/>
                <w:color w:val="2C2C2C" w:themeColor="dark1"/>
                <w:kern w:val="24"/>
                <w:sz w:val="20"/>
                <w:lang w:eastAsia="en-AU"/>
              </w:rPr>
              <w:t>m</w:t>
            </w:r>
            <w:r w:rsidRPr="00B96967">
              <w:rPr>
                <w:rFonts w:eastAsia="Times New Roman"/>
                <w:i/>
                <w:color w:val="2C2C2C" w:themeColor="dark1"/>
                <w:kern w:val="24"/>
                <w:sz w:val="20"/>
                <w:lang w:eastAsia="en-AU"/>
              </w:rPr>
              <w:t>ulti</w:t>
            </w:r>
            <w:r w:rsidR="009735C3" w:rsidRPr="00B96967">
              <w:rPr>
                <w:rFonts w:eastAsia="Times New Roman"/>
                <w:i/>
                <w:color w:val="2C2C2C" w:themeColor="dark1"/>
                <w:kern w:val="24"/>
                <w:sz w:val="20"/>
                <w:lang w:eastAsia="en-AU"/>
              </w:rPr>
              <w:t>-yea</w:t>
            </w:r>
            <w:r w:rsidRPr="00B96967">
              <w:rPr>
                <w:rFonts w:eastAsia="Times New Roman"/>
                <w:i/>
                <w:color w:val="2C2C2C" w:themeColor="dark1"/>
                <w:kern w:val="24"/>
                <w:sz w:val="20"/>
                <w:lang w:eastAsia="en-AU"/>
              </w:rPr>
              <w:t>r funds due</w:t>
            </w:r>
          </w:p>
          <w:p w14:paraId="7B48983F" w14:textId="058A6A07" w:rsidR="006734E5" w:rsidRPr="00B96967" w:rsidRDefault="00B966C9" w:rsidP="00D97771">
            <w:pPr>
              <w:spacing w:after="0" w:line="240" w:lineRule="auto"/>
              <w:ind w:left="720"/>
              <w:rPr>
                <w:rFonts w:eastAsia="Times New Roman"/>
                <w:i/>
                <w:sz w:val="20"/>
                <w:lang w:eastAsia="en-AU"/>
              </w:rPr>
            </w:pPr>
            <w:r w:rsidRPr="00B96967">
              <w:rPr>
                <w:rFonts w:eastAsia="Times New Roman"/>
                <w:i/>
                <w:color w:val="2C2C2C" w:themeColor="dark1"/>
                <w:kern w:val="24"/>
                <w:sz w:val="20"/>
                <w:lang w:eastAsia="en-AU"/>
              </w:rPr>
              <w:t>Shared s</w:t>
            </w:r>
            <w:r w:rsidR="00BF1A40" w:rsidRPr="00B96967">
              <w:rPr>
                <w:rFonts w:eastAsia="Times New Roman"/>
                <w:i/>
                <w:color w:val="2C2C2C" w:themeColor="dark1"/>
                <w:kern w:val="24"/>
                <w:sz w:val="20"/>
                <w:lang w:eastAsia="en-AU"/>
              </w:rPr>
              <w:t>ervices</w:t>
            </w:r>
            <w:r w:rsidR="006734E5" w:rsidRPr="00B96967">
              <w:rPr>
                <w:rFonts w:eastAsia="Times New Roman"/>
                <w:i/>
                <w:color w:val="2C2C2C" w:themeColor="dark1"/>
                <w:kern w:val="24"/>
                <w:sz w:val="20"/>
                <w:lang w:eastAsia="en-AU"/>
              </w:rPr>
              <w:t xml:space="preserve"> proposals due</w:t>
            </w:r>
          </w:p>
        </w:tc>
        <w:tc>
          <w:tcPr>
            <w:tcW w:w="1105" w:type="pct"/>
            <w:shd w:val="clear" w:color="auto" w:fill="auto"/>
            <w:tcMar>
              <w:top w:w="72" w:type="dxa"/>
              <w:left w:w="144" w:type="dxa"/>
              <w:bottom w:w="72" w:type="dxa"/>
              <w:right w:w="144" w:type="dxa"/>
            </w:tcMar>
            <w:hideMark/>
          </w:tcPr>
          <w:p w14:paraId="2B05AB30" w14:textId="77777777" w:rsidR="006734E5" w:rsidRPr="00B96967" w:rsidRDefault="006734E5" w:rsidP="00D97771">
            <w:pPr>
              <w:spacing w:after="0" w:line="240" w:lineRule="auto"/>
              <w:rPr>
                <w:rFonts w:eastAsia="Times New Roman"/>
                <w:color w:val="2C2C2C" w:themeColor="dark1"/>
                <w:kern w:val="24"/>
                <w:sz w:val="20"/>
                <w:lang w:eastAsia="en-AU"/>
              </w:rPr>
            </w:pPr>
            <w:r w:rsidRPr="00B96967">
              <w:rPr>
                <w:rFonts w:eastAsia="Times New Roman"/>
                <w:color w:val="2C2C2C" w:themeColor="dark1"/>
                <w:kern w:val="24"/>
                <w:sz w:val="20"/>
                <w:lang w:eastAsia="en-AU"/>
              </w:rPr>
              <w:t xml:space="preserve">31 Oct </w:t>
            </w:r>
          </w:p>
          <w:p w14:paraId="1385257C" w14:textId="77777777" w:rsidR="006734E5" w:rsidRPr="00B96967" w:rsidRDefault="006734E5" w:rsidP="00D97771">
            <w:pPr>
              <w:spacing w:after="0" w:line="240" w:lineRule="auto"/>
              <w:rPr>
                <w:rFonts w:eastAsia="Times New Roman"/>
                <w:color w:val="2C2C2C" w:themeColor="dark1"/>
                <w:kern w:val="24"/>
                <w:sz w:val="20"/>
                <w:lang w:eastAsia="en-AU"/>
              </w:rPr>
            </w:pPr>
          </w:p>
          <w:p w14:paraId="75FBBFBD" w14:textId="77777777" w:rsidR="006734E5" w:rsidRPr="00B96967" w:rsidRDefault="006734E5" w:rsidP="00D97771">
            <w:pPr>
              <w:spacing w:after="0" w:line="240" w:lineRule="auto"/>
              <w:rPr>
                <w:rFonts w:eastAsia="Times New Roman"/>
                <w:color w:val="2C2C2C" w:themeColor="dark1"/>
                <w:kern w:val="24"/>
                <w:sz w:val="20"/>
                <w:lang w:eastAsia="en-AU"/>
              </w:rPr>
            </w:pPr>
          </w:p>
          <w:p w14:paraId="55F7B09E" w14:textId="77777777" w:rsidR="006734E5" w:rsidRPr="00B96967" w:rsidRDefault="006734E5" w:rsidP="00D97771">
            <w:pPr>
              <w:spacing w:after="0" w:line="240" w:lineRule="auto"/>
              <w:rPr>
                <w:rFonts w:eastAsia="Times New Roman"/>
                <w:i/>
                <w:sz w:val="20"/>
                <w:lang w:eastAsia="en-AU"/>
              </w:rPr>
            </w:pPr>
            <w:r w:rsidRPr="00B96967">
              <w:rPr>
                <w:rFonts w:eastAsia="Times New Roman"/>
                <w:i/>
                <w:color w:val="2C2C2C" w:themeColor="dark1"/>
                <w:kern w:val="24"/>
                <w:sz w:val="20"/>
                <w:lang w:eastAsia="en-AU"/>
              </w:rPr>
              <w:t>31 Oct</w:t>
            </w:r>
          </w:p>
        </w:tc>
      </w:tr>
      <w:tr w:rsidR="006734E5" w:rsidRPr="00B96967" w14:paraId="0F2D1F80" w14:textId="77777777" w:rsidTr="009603A4">
        <w:trPr>
          <w:trHeight w:val="404"/>
        </w:trPr>
        <w:tc>
          <w:tcPr>
            <w:tcW w:w="3895" w:type="pct"/>
            <w:shd w:val="clear" w:color="auto" w:fill="auto"/>
            <w:tcMar>
              <w:top w:w="72" w:type="dxa"/>
              <w:left w:w="144" w:type="dxa"/>
              <w:bottom w:w="72" w:type="dxa"/>
              <w:right w:w="144" w:type="dxa"/>
            </w:tcMar>
            <w:hideMark/>
          </w:tcPr>
          <w:p w14:paraId="103B6BEC" w14:textId="77777777" w:rsidR="006734E5" w:rsidRPr="00B96967" w:rsidRDefault="006734E5" w:rsidP="00D97771">
            <w:pPr>
              <w:spacing w:after="0" w:line="240" w:lineRule="auto"/>
              <w:rPr>
                <w:rFonts w:eastAsia="Times New Roman"/>
                <w:sz w:val="20"/>
                <w:lang w:eastAsia="en-AU"/>
              </w:rPr>
            </w:pPr>
            <w:r w:rsidRPr="00B96967">
              <w:rPr>
                <w:rFonts w:eastAsia="Times New Roman"/>
                <w:color w:val="2C2C2C" w:themeColor="dark1"/>
                <w:kern w:val="24"/>
                <w:sz w:val="20"/>
                <w:lang w:eastAsia="en-AU"/>
              </w:rPr>
              <w:lastRenderedPageBreak/>
              <w:t>NGOs provide brief quantitative update on additional highlight results to inform DFAT’s Annual Quality Check (e.g. 2 pages max)</w:t>
            </w:r>
          </w:p>
        </w:tc>
        <w:tc>
          <w:tcPr>
            <w:tcW w:w="1105" w:type="pct"/>
            <w:shd w:val="clear" w:color="auto" w:fill="auto"/>
            <w:tcMar>
              <w:top w:w="72" w:type="dxa"/>
              <w:left w:w="144" w:type="dxa"/>
              <w:bottom w:w="72" w:type="dxa"/>
              <w:right w:w="144" w:type="dxa"/>
            </w:tcMar>
            <w:hideMark/>
          </w:tcPr>
          <w:p w14:paraId="52A7EC9D" w14:textId="2A124877" w:rsidR="006734E5" w:rsidRPr="00B96967" w:rsidRDefault="006734E5" w:rsidP="00D97771">
            <w:pPr>
              <w:spacing w:after="0" w:line="240" w:lineRule="auto"/>
              <w:rPr>
                <w:rFonts w:eastAsia="Times New Roman"/>
                <w:sz w:val="20"/>
                <w:lang w:eastAsia="en-AU"/>
              </w:rPr>
            </w:pPr>
            <w:r w:rsidRPr="00B96967">
              <w:rPr>
                <w:rFonts w:eastAsia="Times New Roman"/>
                <w:color w:val="2C2C2C" w:themeColor="dark1"/>
                <w:kern w:val="24"/>
                <w:sz w:val="20"/>
                <w:lang w:eastAsia="en-AU"/>
              </w:rPr>
              <w:t>Mid</w:t>
            </w:r>
            <w:r w:rsidR="00C16B5A" w:rsidRPr="00B96967">
              <w:rPr>
                <w:rFonts w:eastAsia="Times New Roman"/>
                <w:color w:val="2C2C2C" w:themeColor="dark1"/>
                <w:kern w:val="24"/>
                <w:sz w:val="20"/>
                <w:lang w:eastAsia="en-AU"/>
              </w:rPr>
              <w:t>-</w:t>
            </w:r>
            <w:r w:rsidRPr="00B96967">
              <w:rPr>
                <w:rFonts w:eastAsia="Times New Roman"/>
                <w:color w:val="2C2C2C" w:themeColor="dark1"/>
                <w:kern w:val="24"/>
                <w:sz w:val="20"/>
                <w:lang w:eastAsia="en-AU"/>
              </w:rPr>
              <w:t>Feb</w:t>
            </w:r>
          </w:p>
        </w:tc>
      </w:tr>
      <w:tr w:rsidR="006734E5" w:rsidRPr="00B96967" w14:paraId="20ACC313" w14:textId="77777777" w:rsidTr="009603A4">
        <w:trPr>
          <w:trHeight w:val="386"/>
        </w:trPr>
        <w:tc>
          <w:tcPr>
            <w:tcW w:w="3895" w:type="pct"/>
            <w:shd w:val="clear" w:color="auto" w:fill="auto"/>
            <w:tcMar>
              <w:top w:w="72" w:type="dxa"/>
              <w:left w:w="144" w:type="dxa"/>
              <w:bottom w:w="72" w:type="dxa"/>
              <w:right w:w="144" w:type="dxa"/>
            </w:tcMar>
            <w:hideMark/>
          </w:tcPr>
          <w:p w14:paraId="511E2A85" w14:textId="1A72C05E" w:rsidR="006734E5" w:rsidRPr="00B96967" w:rsidRDefault="001B44A2" w:rsidP="00D97771">
            <w:pPr>
              <w:spacing w:after="0" w:line="240" w:lineRule="auto"/>
              <w:rPr>
                <w:rFonts w:eastAsia="Times New Roman"/>
                <w:sz w:val="20"/>
                <w:lang w:eastAsia="en-AU"/>
              </w:rPr>
            </w:pPr>
            <w:r w:rsidRPr="00B96967">
              <w:rPr>
                <w:rFonts w:eastAsia="Times New Roman"/>
                <w:color w:val="2C2C2C" w:themeColor="dark1"/>
                <w:kern w:val="24"/>
                <w:sz w:val="20"/>
                <w:lang w:eastAsia="en-AU"/>
              </w:rPr>
              <w:t>AHP SU</w:t>
            </w:r>
            <w:r w:rsidR="006734E5" w:rsidRPr="00B96967">
              <w:rPr>
                <w:rFonts w:eastAsia="Times New Roman"/>
                <w:color w:val="2C2C2C" w:themeColor="dark1"/>
                <w:kern w:val="24"/>
                <w:sz w:val="20"/>
                <w:lang w:eastAsia="en-AU"/>
              </w:rPr>
              <w:t xml:space="preserve"> compiles country annual reports and overarching program report</w:t>
            </w:r>
          </w:p>
        </w:tc>
        <w:tc>
          <w:tcPr>
            <w:tcW w:w="1105" w:type="pct"/>
            <w:shd w:val="clear" w:color="auto" w:fill="auto"/>
            <w:tcMar>
              <w:top w:w="72" w:type="dxa"/>
              <w:left w:w="144" w:type="dxa"/>
              <w:bottom w:w="72" w:type="dxa"/>
              <w:right w:w="144" w:type="dxa"/>
            </w:tcMar>
            <w:hideMark/>
          </w:tcPr>
          <w:p w14:paraId="0D5212ED" w14:textId="77777777" w:rsidR="006734E5" w:rsidRPr="00B96967" w:rsidRDefault="006734E5" w:rsidP="00D97771">
            <w:pPr>
              <w:spacing w:after="0" w:line="240" w:lineRule="auto"/>
              <w:rPr>
                <w:rFonts w:eastAsia="Times New Roman"/>
                <w:sz w:val="20"/>
                <w:lang w:eastAsia="en-AU"/>
              </w:rPr>
            </w:pPr>
            <w:r w:rsidRPr="00B96967">
              <w:rPr>
                <w:rFonts w:eastAsia="Times New Roman"/>
                <w:color w:val="2C2C2C" w:themeColor="dark1"/>
                <w:kern w:val="24"/>
                <w:sz w:val="20"/>
                <w:lang w:eastAsia="en-AU"/>
              </w:rPr>
              <w:t>End of Feb</w:t>
            </w:r>
          </w:p>
        </w:tc>
      </w:tr>
    </w:tbl>
    <w:p w14:paraId="718F561A" w14:textId="46F49183" w:rsidR="006734E5" w:rsidRPr="00394C86" w:rsidRDefault="006734E5" w:rsidP="006734E5">
      <w:pPr>
        <w:rPr>
          <w:color w:val="3C3C3C" w:themeColor="background2" w:themeShade="40"/>
        </w:rPr>
      </w:pPr>
      <w:r w:rsidRPr="00394C86">
        <w:rPr>
          <w:color w:val="3C3C3C" w:themeColor="background2" w:themeShade="40"/>
        </w:rPr>
        <w:t xml:space="preserve">Additional milestones in </w:t>
      </w:r>
      <w:r w:rsidR="00E95996" w:rsidRPr="00394C86">
        <w:rPr>
          <w:color w:val="3C3C3C" w:themeColor="background2" w:themeShade="40"/>
        </w:rPr>
        <w:t xml:space="preserve">Year 1 </w:t>
      </w:r>
      <w:r w:rsidRPr="00394C86">
        <w:rPr>
          <w:color w:val="3C3C3C" w:themeColor="background2" w:themeShade="40"/>
        </w:rPr>
        <w:t>only include: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284"/>
        <w:gridCol w:w="2066"/>
      </w:tblGrid>
      <w:tr w:rsidR="006734E5" w:rsidRPr="00B96967" w14:paraId="085A583A" w14:textId="77777777" w:rsidTr="009603A4">
        <w:trPr>
          <w:trHeight w:val="395"/>
        </w:trPr>
        <w:tc>
          <w:tcPr>
            <w:tcW w:w="3895" w:type="pct"/>
            <w:shd w:val="clear" w:color="auto" w:fill="auto"/>
            <w:tcMar>
              <w:top w:w="72" w:type="dxa"/>
              <w:left w:w="144" w:type="dxa"/>
              <w:bottom w:w="72" w:type="dxa"/>
              <w:right w:w="144" w:type="dxa"/>
            </w:tcMar>
            <w:hideMark/>
          </w:tcPr>
          <w:p w14:paraId="22E71F87" w14:textId="2F7F3997" w:rsidR="006734E5" w:rsidRPr="00B96967" w:rsidRDefault="009D0B2B" w:rsidP="00D97771">
            <w:pPr>
              <w:spacing w:after="0" w:line="240" w:lineRule="auto"/>
              <w:rPr>
                <w:rFonts w:eastAsia="Times New Roman"/>
                <w:color w:val="3C3C3C" w:themeColor="background2" w:themeShade="40"/>
                <w:sz w:val="20"/>
                <w:lang w:eastAsia="en-AU"/>
              </w:rPr>
            </w:pPr>
            <w:r w:rsidRPr="00B96967">
              <w:rPr>
                <w:rFonts w:eastAsia="Times New Roman"/>
                <w:bCs/>
                <w:color w:val="3C3C3C" w:themeColor="background2" w:themeShade="40"/>
                <w:kern w:val="24"/>
                <w:sz w:val="20"/>
                <w:lang w:eastAsia="en-AU"/>
              </w:rPr>
              <w:t>Country Committee</w:t>
            </w:r>
            <w:r w:rsidR="006734E5" w:rsidRPr="00B96967">
              <w:rPr>
                <w:rFonts w:eastAsia="Times New Roman"/>
                <w:bCs/>
                <w:color w:val="3C3C3C" w:themeColor="background2" w:themeShade="40"/>
                <w:kern w:val="24"/>
                <w:sz w:val="20"/>
                <w:lang w:eastAsia="en-AU"/>
              </w:rPr>
              <w:t xml:space="preserve">s define indicators – with SU assistance </w:t>
            </w:r>
          </w:p>
        </w:tc>
        <w:tc>
          <w:tcPr>
            <w:tcW w:w="1105" w:type="pct"/>
            <w:shd w:val="clear" w:color="auto" w:fill="auto"/>
            <w:tcMar>
              <w:top w:w="72" w:type="dxa"/>
              <w:left w:w="144" w:type="dxa"/>
              <w:bottom w:w="72" w:type="dxa"/>
              <w:right w:w="144" w:type="dxa"/>
            </w:tcMar>
            <w:hideMark/>
          </w:tcPr>
          <w:p w14:paraId="17B15018" w14:textId="77777777" w:rsidR="006734E5" w:rsidRPr="00B96967" w:rsidRDefault="006734E5" w:rsidP="00D97771">
            <w:pPr>
              <w:spacing w:after="0" w:line="240" w:lineRule="auto"/>
              <w:rPr>
                <w:rFonts w:eastAsia="Times New Roman"/>
                <w:color w:val="3C3C3C" w:themeColor="background2" w:themeShade="40"/>
                <w:sz w:val="20"/>
                <w:lang w:eastAsia="en-AU"/>
              </w:rPr>
            </w:pPr>
            <w:r w:rsidRPr="00B96967">
              <w:rPr>
                <w:rFonts w:eastAsia="Times New Roman"/>
                <w:bCs/>
                <w:color w:val="3C3C3C" w:themeColor="background2" w:themeShade="40"/>
                <w:kern w:val="24"/>
                <w:sz w:val="20"/>
                <w:lang w:eastAsia="en-AU"/>
              </w:rPr>
              <w:t>By 30 March</w:t>
            </w:r>
          </w:p>
        </w:tc>
      </w:tr>
      <w:tr w:rsidR="006734E5" w:rsidRPr="00B96967" w14:paraId="3E617DD5" w14:textId="77777777" w:rsidTr="009603A4">
        <w:trPr>
          <w:trHeight w:val="350"/>
        </w:trPr>
        <w:tc>
          <w:tcPr>
            <w:tcW w:w="3895" w:type="pct"/>
            <w:shd w:val="clear" w:color="auto" w:fill="auto"/>
            <w:tcMar>
              <w:top w:w="72" w:type="dxa"/>
              <w:left w:w="144" w:type="dxa"/>
              <w:bottom w:w="72" w:type="dxa"/>
              <w:right w:w="144" w:type="dxa"/>
            </w:tcMar>
            <w:hideMark/>
          </w:tcPr>
          <w:p w14:paraId="0CF762B2" w14:textId="77777777" w:rsidR="006734E5" w:rsidRPr="00B96967" w:rsidRDefault="006734E5" w:rsidP="00D97771">
            <w:pPr>
              <w:spacing w:after="0" w:line="240" w:lineRule="auto"/>
              <w:rPr>
                <w:rFonts w:eastAsia="Times New Roman"/>
                <w:sz w:val="20"/>
                <w:lang w:eastAsia="en-AU"/>
              </w:rPr>
            </w:pPr>
            <w:r w:rsidRPr="00B96967">
              <w:rPr>
                <w:rFonts w:eastAsia="Times New Roman"/>
                <w:color w:val="2C2C2C" w:themeColor="dark1"/>
                <w:kern w:val="24"/>
                <w:sz w:val="20"/>
                <w:lang w:eastAsia="en-AU"/>
              </w:rPr>
              <w:t>NGOs submit updated M&amp;E plan to the SU</w:t>
            </w:r>
          </w:p>
        </w:tc>
        <w:tc>
          <w:tcPr>
            <w:tcW w:w="1105" w:type="pct"/>
            <w:shd w:val="clear" w:color="auto" w:fill="auto"/>
            <w:tcMar>
              <w:top w:w="72" w:type="dxa"/>
              <w:left w:w="144" w:type="dxa"/>
              <w:bottom w:w="72" w:type="dxa"/>
              <w:right w:w="144" w:type="dxa"/>
            </w:tcMar>
            <w:hideMark/>
          </w:tcPr>
          <w:p w14:paraId="0991EDEE" w14:textId="77777777" w:rsidR="006734E5" w:rsidRPr="00B96967" w:rsidRDefault="006734E5" w:rsidP="00D97771">
            <w:pPr>
              <w:spacing w:after="0" w:line="240" w:lineRule="auto"/>
              <w:rPr>
                <w:rFonts w:eastAsia="Times New Roman"/>
                <w:sz w:val="20"/>
                <w:lang w:eastAsia="en-AU"/>
              </w:rPr>
            </w:pPr>
            <w:r w:rsidRPr="00B96967">
              <w:rPr>
                <w:rFonts w:eastAsia="Times New Roman"/>
                <w:color w:val="2C2C2C" w:themeColor="dark1"/>
                <w:kern w:val="24"/>
                <w:sz w:val="20"/>
                <w:lang w:eastAsia="en-AU"/>
              </w:rPr>
              <w:t>30 April</w:t>
            </w:r>
          </w:p>
        </w:tc>
      </w:tr>
    </w:tbl>
    <w:p w14:paraId="53882D40" w14:textId="53D8EE93" w:rsidR="006734E5" w:rsidRDefault="006734E5" w:rsidP="006734E5">
      <w:pPr>
        <w:rPr>
          <w:color w:val="3C3C3C" w:themeColor="background2" w:themeShade="40"/>
        </w:rPr>
      </w:pPr>
      <w:r w:rsidRPr="00394C86">
        <w:rPr>
          <w:color w:val="3C3C3C" w:themeColor="background2" w:themeShade="40"/>
        </w:rPr>
        <w:t xml:space="preserve">Additional milestones also include the regional learning forum to be held in 2019. </w:t>
      </w:r>
      <w:r w:rsidR="00921E6E">
        <w:rPr>
          <w:color w:val="3C3C3C" w:themeColor="background2" w:themeShade="40"/>
        </w:rPr>
        <w:br/>
      </w:r>
    </w:p>
    <w:p w14:paraId="7C8E5E94" w14:textId="79CA24C2" w:rsidR="006734E5" w:rsidRPr="006423E8" w:rsidRDefault="006734E5" w:rsidP="009603A4">
      <w:pPr>
        <w:pStyle w:val="Heading2"/>
        <w:rPr>
          <w:rFonts w:ascii="Calibri" w:hAnsi="Calibri" w:cs="Calibri"/>
        </w:rPr>
      </w:pPr>
      <w:bookmarkStart w:id="51" w:name="_Toc501451684"/>
      <w:r w:rsidRPr="006423E8">
        <w:rPr>
          <w:rFonts w:ascii="Calibri" w:hAnsi="Calibri" w:cs="Calibri"/>
        </w:rPr>
        <w:t>Data sources for each evaluation sub-question</w:t>
      </w:r>
      <w:bookmarkEnd w:id="51"/>
    </w:p>
    <w:p w14:paraId="3A1FB40B" w14:textId="0787A207" w:rsidR="006734E5" w:rsidRPr="00394C86" w:rsidRDefault="006734E5" w:rsidP="006734E5">
      <w:r w:rsidRPr="00394C86">
        <w:t xml:space="preserve">A summary of the data sources for each evaluation sub-question </w:t>
      </w:r>
      <w:r w:rsidR="00E95996" w:rsidRPr="00394C86">
        <w:t xml:space="preserve">is </w:t>
      </w:r>
      <w:r w:rsidRPr="00394C86">
        <w:t xml:space="preserve">included in </w:t>
      </w:r>
      <w:r w:rsidRPr="00A048D6">
        <w:fldChar w:fldCharType="begin"/>
      </w:r>
      <w:r w:rsidRPr="00394C86">
        <w:instrText xml:space="preserve"> REF _Ref501096844 \h </w:instrText>
      </w:r>
      <w:r w:rsidR="00394C86">
        <w:instrText xml:space="preserve"> \* MERGEFORMAT </w:instrText>
      </w:r>
      <w:r w:rsidRPr="00A048D6">
        <w:fldChar w:fldCharType="separate"/>
      </w:r>
      <w:r w:rsidR="00797A9B" w:rsidRPr="00394C86">
        <w:t xml:space="preserve">Table </w:t>
      </w:r>
      <w:r w:rsidR="00797A9B">
        <w:rPr>
          <w:noProof/>
        </w:rPr>
        <w:t>4</w:t>
      </w:r>
      <w:r w:rsidRPr="00A048D6">
        <w:fldChar w:fldCharType="end"/>
      </w:r>
      <w:r w:rsidRPr="00394C86">
        <w:t>.</w:t>
      </w:r>
    </w:p>
    <w:p w14:paraId="6D4AE3D5" w14:textId="3525A22E" w:rsidR="006734E5" w:rsidRPr="00394C86" w:rsidRDefault="006734E5" w:rsidP="006734E5">
      <w:pPr>
        <w:pStyle w:val="Caption"/>
        <w:keepNext/>
      </w:pPr>
      <w:bookmarkStart w:id="52" w:name="_Ref501096844"/>
      <w:r w:rsidRPr="00394C86">
        <w:t xml:space="preserve">Table </w:t>
      </w:r>
      <w:r w:rsidR="0014450E" w:rsidRPr="00A048D6">
        <w:fldChar w:fldCharType="begin"/>
      </w:r>
      <w:r w:rsidR="0014450E" w:rsidRPr="00394C86">
        <w:instrText xml:space="preserve"> SEQ Table \* ARABIC </w:instrText>
      </w:r>
      <w:r w:rsidR="0014450E" w:rsidRPr="00A048D6">
        <w:fldChar w:fldCharType="separate"/>
      </w:r>
      <w:r w:rsidR="00797A9B">
        <w:rPr>
          <w:noProof/>
        </w:rPr>
        <w:t>4</w:t>
      </w:r>
      <w:r w:rsidR="0014450E" w:rsidRPr="00A048D6">
        <w:rPr>
          <w:noProof/>
        </w:rPr>
        <w:fldChar w:fldCharType="end"/>
      </w:r>
      <w:bookmarkEnd w:id="52"/>
      <w:r w:rsidRPr="00394C86">
        <w:t xml:space="preserve"> Data sources for each evaluation sub-question</w:t>
      </w:r>
    </w:p>
    <w:tbl>
      <w:tblPr>
        <w:tblStyle w:val="TableGrid2"/>
        <w:tblW w:w="5288" w:type="pct"/>
        <w:tblLook w:val="04A0" w:firstRow="1" w:lastRow="0" w:firstColumn="1" w:lastColumn="0" w:noHBand="0" w:noVBand="1"/>
      </w:tblPr>
      <w:tblGrid>
        <w:gridCol w:w="6744"/>
        <w:gridCol w:w="3145"/>
      </w:tblGrid>
      <w:tr w:rsidR="007363D0" w:rsidRPr="00B96967" w14:paraId="4C0A9E98" w14:textId="77777777" w:rsidTr="00B96967">
        <w:tc>
          <w:tcPr>
            <w:tcW w:w="3410" w:type="pct"/>
            <w:shd w:val="clear" w:color="auto" w:fill="F2F2F2"/>
          </w:tcPr>
          <w:p w14:paraId="6D135A69" w14:textId="77777777" w:rsidR="006734E5" w:rsidRPr="00B96967" w:rsidRDefault="006734E5" w:rsidP="00D97771">
            <w:pPr>
              <w:rPr>
                <w:b/>
                <w:color w:val="3C3C3C" w:themeColor="background2" w:themeShade="40"/>
                <w:sz w:val="20"/>
                <w:szCs w:val="20"/>
              </w:rPr>
            </w:pPr>
            <w:r w:rsidRPr="00B96967">
              <w:rPr>
                <w:b/>
                <w:color w:val="3C3C3C" w:themeColor="background2" w:themeShade="40"/>
                <w:sz w:val="20"/>
                <w:szCs w:val="20"/>
              </w:rPr>
              <w:t>Evaluation sub-questions</w:t>
            </w:r>
          </w:p>
        </w:tc>
        <w:tc>
          <w:tcPr>
            <w:tcW w:w="1590" w:type="pct"/>
            <w:shd w:val="clear" w:color="auto" w:fill="F2F2F2"/>
          </w:tcPr>
          <w:p w14:paraId="1A806E0D" w14:textId="77777777" w:rsidR="006734E5" w:rsidRPr="00B96967" w:rsidRDefault="006734E5" w:rsidP="00D97771">
            <w:pPr>
              <w:rPr>
                <w:b/>
                <w:color w:val="3C3C3C" w:themeColor="background2" w:themeShade="40"/>
                <w:sz w:val="20"/>
                <w:szCs w:val="20"/>
              </w:rPr>
            </w:pPr>
            <w:r w:rsidRPr="00B96967">
              <w:rPr>
                <w:b/>
                <w:color w:val="3C3C3C" w:themeColor="background2" w:themeShade="40"/>
                <w:sz w:val="20"/>
                <w:szCs w:val="20"/>
              </w:rPr>
              <w:t>Data sources</w:t>
            </w:r>
          </w:p>
        </w:tc>
      </w:tr>
      <w:tr w:rsidR="007363D0" w:rsidRPr="00B96967" w14:paraId="3155146B" w14:textId="77777777" w:rsidTr="00D97771">
        <w:tc>
          <w:tcPr>
            <w:tcW w:w="5000" w:type="pct"/>
            <w:gridSpan w:val="2"/>
            <w:shd w:val="clear" w:color="auto" w:fill="D9D9D9" w:themeFill="background1" w:themeFillShade="D9"/>
          </w:tcPr>
          <w:p w14:paraId="4E731E0F" w14:textId="77777777" w:rsidR="006734E5" w:rsidRPr="00B96967" w:rsidRDefault="006734E5" w:rsidP="00D97771">
            <w:pPr>
              <w:rPr>
                <w:color w:val="3C3C3C" w:themeColor="background2" w:themeShade="40"/>
                <w:sz w:val="20"/>
                <w:szCs w:val="20"/>
              </w:rPr>
            </w:pPr>
            <w:r w:rsidRPr="00B96967">
              <w:rPr>
                <w:color w:val="3C3C3C" w:themeColor="background2" w:themeShade="40"/>
                <w:sz w:val="20"/>
                <w:szCs w:val="20"/>
              </w:rPr>
              <w:t>EFFECTIVENESS</w:t>
            </w:r>
            <w:r w:rsidRPr="00B96967">
              <w:rPr>
                <w:rFonts w:eastAsia="Corbel"/>
                <w:color w:val="3C3C3C" w:themeColor="background2" w:themeShade="40"/>
                <w:sz w:val="20"/>
                <w:szCs w:val="20"/>
              </w:rPr>
              <w:t xml:space="preserve"> - Are we achieving the outcomes we expected at this point in time?</w:t>
            </w:r>
          </w:p>
        </w:tc>
      </w:tr>
      <w:tr w:rsidR="007363D0" w:rsidRPr="00B96967" w14:paraId="03785822" w14:textId="77777777" w:rsidTr="00B96967">
        <w:trPr>
          <w:trHeight w:val="998"/>
        </w:trPr>
        <w:tc>
          <w:tcPr>
            <w:tcW w:w="3410" w:type="pct"/>
            <w:shd w:val="clear" w:color="auto" w:fill="auto"/>
          </w:tcPr>
          <w:p w14:paraId="27FD2716" w14:textId="092CB430" w:rsidR="006734E5" w:rsidRPr="00B96967" w:rsidRDefault="006734E5" w:rsidP="0001082F">
            <w:pPr>
              <w:pStyle w:val="ListParagraph"/>
              <w:numPr>
                <w:ilvl w:val="1"/>
                <w:numId w:val="36"/>
              </w:numPr>
              <w:spacing w:after="0"/>
              <w:rPr>
                <w:rFonts w:eastAsia="Corbel"/>
                <w:color w:val="3C3C3C" w:themeColor="background2" w:themeShade="40"/>
                <w:sz w:val="20"/>
                <w:szCs w:val="20"/>
              </w:rPr>
            </w:pPr>
            <w:r w:rsidRPr="00B96967">
              <w:rPr>
                <w:rFonts w:eastAsia="Corbel"/>
                <w:color w:val="3C3C3C" w:themeColor="background2" w:themeShade="40"/>
                <w:sz w:val="20"/>
                <w:szCs w:val="20"/>
              </w:rPr>
              <w:t>To what extent has local humanitarian capability in the Pacific and Timor-Leste been strengthened so that communities are better able to manage and respond to rapid</w:t>
            </w:r>
            <w:r w:rsidR="0095713B" w:rsidRPr="00B96967">
              <w:rPr>
                <w:rFonts w:eastAsia="Corbel"/>
                <w:color w:val="3C3C3C" w:themeColor="background2" w:themeShade="40"/>
                <w:sz w:val="20"/>
                <w:szCs w:val="20"/>
              </w:rPr>
              <w:t>-</w:t>
            </w:r>
            <w:r w:rsidRPr="00B96967">
              <w:rPr>
                <w:rFonts w:eastAsia="Corbel"/>
                <w:color w:val="3C3C3C" w:themeColor="background2" w:themeShade="40"/>
                <w:sz w:val="20"/>
                <w:szCs w:val="20"/>
              </w:rPr>
              <w:t xml:space="preserve"> and </w:t>
            </w:r>
            <w:r w:rsidR="003568A1" w:rsidRPr="00B96967">
              <w:rPr>
                <w:rFonts w:eastAsia="Corbel"/>
                <w:color w:val="3C3C3C" w:themeColor="background2" w:themeShade="40"/>
                <w:sz w:val="20"/>
                <w:szCs w:val="20"/>
              </w:rPr>
              <w:t>slow-onset</w:t>
            </w:r>
            <w:r w:rsidRPr="00B96967">
              <w:rPr>
                <w:rFonts w:eastAsia="Corbel"/>
                <w:color w:val="3C3C3C" w:themeColor="background2" w:themeShade="40"/>
                <w:sz w:val="20"/>
                <w:szCs w:val="20"/>
              </w:rPr>
              <w:t xml:space="preserve"> disasters? (E.g. what progress has been made towards program objectives and outcomes?)</w:t>
            </w:r>
          </w:p>
        </w:tc>
        <w:tc>
          <w:tcPr>
            <w:tcW w:w="1590" w:type="pct"/>
          </w:tcPr>
          <w:p w14:paraId="35D14525"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NGO annual report</w:t>
            </w:r>
          </w:p>
          <w:p w14:paraId="3856613A"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Annual evaluations</w:t>
            </w:r>
          </w:p>
          <w:p w14:paraId="64DCBE2B"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Independent evaluation</w:t>
            </w:r>
          </w:p>
        </w:tc>
      </w:tr>
      <w:tr w:rsidR="007363D0" w:rsidRPr="00B96967" w14:paraId="4EF570CA" w14:textId="77777777" w:rsidTr="00D97771">
        <w:tc>
          <w:tcPr>
            <w:tcW w:w="5000" w:type="pct"/>
            <w:gridSpan w:val="2"/>
            <w:shd w:val="clear" w:color="auto" w:fill="D9D9D9" w:themeFill="background1" w:themeFillShade="D9"/>
          </w:tcPr>
          <w:p w14:paraId="3AD9C208" w14:textId="77777777" w:rsidR="006734E5" w:rsidRPr="00B96967" w:rsidRDefault="006734E5" w:rsidP="00D97771">
            <w:pPr>
              <w:rPr>
                <w:color w:val="3C3C3C" w:themeColor="background2" w:themeShade="40"/>
                <w:sz w:val="20"/>
                <w:szCs w:val="20"/>
              </w:rPr>
            </w:pPr>
            <w:r w:rsidRPr="00B96967">
              <w:rPr>
                <w:color w:val="3C3C3C" w:themeColor="background2" w:themeShade="40"/>
                <w:sz w:val="20"/>
                <w:szCs w:val="20"/>
              </w:rPr>
              <w:t xml:space="preserve">INCLUSION - </w:t>
            </w:r>
            <w:r w:rsidRPr="00B96967">
              <w:rPr>
                <w:rFonts w:eastAsia="Corbel"/>
                <w:color w:val="3C3C3C" w:themeColor="background2" w:themeShade="40"/>
                <w:sz w:val="20"/>
                <w:szCs w:val="20"/>
              </w:rPr>
              <w:t>Have Disaster READY processes and outcomes been inclusive?</w:t>
            </w:r>
          </w:p>
        </w:tc>
      </w:tr>
      <w:tr w:rsidR="007363D0" w:rsidRPr="00B96967" w14:paraId="35C93362" w14:textId="77777777" w:rsidTr="00B96967">
        <w:trPr>
          <w:trHeight w:val="575"/>
        </w:trPr>
        <w:tc>
          <w:tcPr>
            <w:tcW w:w="3410" w:type="pct"/>
          </w:tcPr>
          <w:p w14:paraId="38F4E4F4" w14:textId="77777777" w:rsidR="006734E5" w:rsidRPr="00B96967" w:rsidRDefault="006734E5" w:rsidP="006734E5">
            <w:pPr>
              <w:pStyle w:val="ListParagraph"/>
              <w:numPr>
                <w:ilvl w:val="1"/>
                <w:numId w:val="37"/>
              </w:numPr>
              <w:spacing w:after="0"/>
              <w:rPr>
                <w:rFonts w:eastAsia="Corbel"/>
                <w:bCs/>
                <w:iCs/>
                <w:color w:val="3C3C3C" w:themeColor="background2" w:themeShade="40"/>
                <w:sz w:val="20"/>
                <w:szCs w:val="20"/>
              </w:rPr>
            </w:pPr>
            <w:r w:rsidRPr="00B96967">
              <w:rPr>
                <w:rFonts w:eastAsia="Corbel"/>
                <w:color w:val="3C3C3C" w:themeColor="background2" w:themeShade="40"/>
                <w:sz w:val="20"/>
                <w:szCs w:val="20"/>
              </w:rPr>
              <w:t>How equitable has the participation of women and people with disabilities been in program activities?</w:t>
            </w:r>
          </w:p>
        </w:tc>
        <w:tc>
          <w:tcPr>
            <w:tcW w:w="1590" w:type="pct"/>
            <w:vMerge w:val="restart"/>
          </w:tcPr>
          <w:p w14:paraId="260029E0"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NGO annual reports</w:t>
            </w:r>
          </w:p>
          <w:p w14:paraId="6F5349EB"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Annual evaluations</w:t>
            </w:r>
          </w:p>
          <w:p w14:paraId="6947AA83"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Independent evaluation</w:t>
            </w:r>
          </w:p>
          <w:p w14:paraId="7D656463" w14:textId="77777777" w:rsidR="006734E5" w:rsidRPr="00B96967" w:rsidRDefault="006734E5" w:rsidP="00D97771">
            <w:pPr>
              <w:contextualSpacing/>
              <w:rPr>
                <w:rFonts w:eastAsia="Corbel"/>
                <w:color w:val="3C3C3C" w:themeColor="background2" w:themeShade="40"/>
                <w:sz w:val="20"/>
                <w:szCs w:val="20"/>
              </w:rPr>
            </w:pPr>
          </w:p>
        </w:tc>
      </w:tr>
      <w:tr w:rsidR="007363D0" w:rsidRPr="00B96967" w14:paraId="43B5032A" w14:textId="77777777" w:rsidTr="00B96967">
        <w:trPr>
          <w:trHeight w:val="557"/>
        </w:trPr>
        <w:tc>
          <w:tcPr>
            <w:tcW w:w="3410" w:type="pct"/>
          </w:tcPr>
          <w:p w14:paraId="02C5158A" w14:textId="77777777" w:rsidR="006734E5" w:rsidRPr="00B96967" w:rsidRDefault="006734E5" w:rsidP="006734E5">
            <w:pPr>
              <w:pStyle w:val="ListParagraph"/>
              <w:numPr>
                <w:ilvl w:val="1"/>
                <w:numId w:val="37"/>
              </w:numPr>
              <w:spacing w:after="0"/>
              <w:rPr>
                <w:rFonts w:eastAsia="Corbel"/>
                <w:color w:val="3C3C3C" w:themeColor="background2" w:themeShade="40"/>
                <w:sz w:val="20"/>
                <w:szCs w:val="20"/>
              </w:rPr>
            </w:pPr>
            <w:r w:rsidRPr="00B96967">
              <w:rPr>
                <w:rFonts w:eastAsia="Corbel"/>
                <w:color w:val="3C3C3C" w:themeColor="background2" w:themeShade="40"/>
                <w:sz w:val="20"/>
                <w:szCs w:val="20"/>
              </w:rPr>
              <w:t>To what extent is the program making a difference to gender equality and empowering women and girls?</w:t>
            </w:r>
          </w:p>
        </w:tc>
        <w:tc>
          <w:tcPr>
            <w:tcW w:w="1590" w:type="pct"/>
            <w:vMerge/>
          </w:tcPr>
          <w:p w14:paraId="5DD807ED" w14:textId="77777777" w:rsidR="006734E5" w:rsidRPr="00B96967" w:rsidRDefault="006734E5" w:rsidP="00D97771">
            <w:pPr>
              <w:contextualSpacing/>
              <w:rPr>
                <w:rFonts w:eastAsia="Corbel"/>
                <w:color w:val="3C3C3C" w:themeColor="background2" w:themeShade="40"/>
                <w:sz w:val="20"/>
                <w:szCs w:val="20"/>
              </w:rPr>
            </w:pPr>
          </w:p>
        </w:tc>
      </w:tr>
      <w:tr w:rsidR="007363D0" w:rsidRPr="00B96967" w14:paraId="7D47EBB0" w14:textId="77777777" w:rsidTr="00B96967">
        <w:trPr>
          <w:trHeight w:val="359"/>
        </w:trPr>
        <w:tc>
          <w:tcPr>
            <w:tcW w:w="3410" w:type="pct"/>
          </w:tcPr>
          <w:p w14:paraId="12473A9A" w14:textId="77777777" w:rsidR="006734E5" w:rsidRPr="00B96967" w:rsidRDefault="006734E5" w:rsidP="006734E5">
            <w:pPr>
              <w:pStyle w:val="ListParagraph"/>
              <w:numPr>
                <w:ilvl w:val="1"/>
                <w:numId w:val="37"/>
              </w:numPr>
              <w:spacing w:after="0"/>
              <w:rPr>
                <w:rFonts w:eastAsia="Corbel"/>
                <w:color w:val="3C3C3C" w:themeColor="background2" w:themeShade="40"/>
                <w:sz w:val="20"/>
                <w:szCs w:val="20"/>
              </w:rPr>
            </w:pPr>
            <w:r w:rsidRPr="00B96967">
              <w:rPr>
                <w:rFonts w:eastAsia="Corbel"/>
                <w:color w:val="3C3C3C" w:themeColor="background2" w:themeShade="40"/>
                <w:sz w:val="20"/>
                <w:szCs w:val="20"/>
              </w:rPr>
              <w:t>Are people with disabilities benefiting equally from the program?</w:t>
            </w:r>
          </w:p>
        </w:tc>
        <w:tc>
          <w:tcPr>
            <w:tcW w:w="1590" w:type="pct"/>
            <w:vMerge/>
          </w:tcPr>
          <w:p w14:paraId="519FDF57" w14:textId="77777777" w:rsidR="006734E5" w:rsidRPr="00B96967" w:rsidRDefault="006734E5" w:rsidP="00D97771">
            <w:pPr>
              <w:contextualSpacing/>
              <w:rPr>
                <w:rFonts w:eastAsia="Corbel"/>
                <w:color w:val="3C3C3C" w:themeColor="background2" w:themeShade="40"/>
                <w:sz w:val="20"/>
                <w:szCs w:val="20"/>
              </w:rPr>
            </w:pPr>
          </w:p>
        </w:tc>
      </w:tr>
      <w:tr w:rsidR="007363D0" w:rsidRPr="00B96967" w14:paraId="5CFA3399" w14:textId="77777777" w:rsidTr="00B96967">
        <w:trPr>
          <w:trHeight w:val="575"/>
        </w:trPr>
        <w:tc>
          <w:tcPr>
            <w:tcW w:w="3410" w:type="pct"/>
          </w:tcPr>
          <w:p w14:paraId="4B29AC08" w14:textId="77777777" w:rsidR="006734E5" w:rsidRPr="00B96967" w:rsidRDefault="006734E5" w:rsidP="006734E5">
            <w:pPr>
              <w:pStyle w:val="ListParagraph"/>
              <w:numPr>
                <w:ilvl w:val="1"/>
                <w:numId w:val="37"/>
              </w:numPr>
              <w:spacing w:after="0"/>
              <w:rPr>
                <w:rFonts w:eastAsia="Corbel"/>
                <w:color w:val="3C3C3C" w:themeColor="background2" w:themeShade="40"/>
                <w:sz w:val="20"/>
                <w:szCs w:val="20"/>
              </w:rPr>
            </w:pPr>
            <w:r w:rsidRPr="00B96967">
              <w:rPr>
                <w:rFonts w:eastAsia="Corbel"/>
                <w:color w:val="3C3C3C" w:themeColor="background2" w:themeShade="40"/>
                <w:sz w:val="20"/>
                <w:szCs w:val="20"/>
              </w:rPr>
              <w:t>Are the necessary policy, systems and processes in place to protect children?</w:t>
            </w:r>
          </w:p>
        </w:tc>
        <w:tc>
          <w:tcPr>
            <w:tcW w:w="1590" w:type="pct"/>
          </w:tcPr>
          <w:p w14:paraId="18B99ABB"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NGO annual reports</w:t>
            </w:r>
          </w:p>
          <w:p w14:paraId="2371BA06" w14:textId="13093A15" w:rsidR="006734E5" w:rsidRPr="00B96967" w:rsidRDefault="0001082F"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Shared s</w:t>
            </w:r>
            <w:r w:rsidR="00BF1A40" w:rsidRPr="00B96967">
              <w:rPr>
                <w:rFonts w:eastAsia="Corbel"/>
                <w:color w:val="3C3C3C" w:themeColor="background2" w:themeShade="40"/>
                <w:sz w:val="20"/>
                <w:szCs w:val="20"/>
              </w:rPr>
              <w:t>ervices</w:t>
            </w:r>
            <w:r w:rsidR="006734E5" w:rsidRPr="00B96967">
              <w:rPr>
                <w:rFonts w:eastAsia="Corbel"/>
                <w:color w:val="3C3C3C" w:themeColor="background2" w:themeShade="40"/>
                <w:sz w:val="20"/>
                <w:szCs w:val="20"/>
              </w:rPr>
              <w:t xml:space="preserve"> report</w:t>
            </w:r>
          </w:p>
        </w:tc>
      </w:tr>
      <w:tr w:rsidR="007363D0" w:rsidRPr="00B96967" w14:paraId="0BFBB432" w14:textId="77777777" w:rsidTr="00D97771">
        <w:tc>
          <w:tcPr>
            <w:tcW w:w="5000" w:type="pct"/>
            <w:gridSpan w:val="2"/>
            <w:shd w:val="clear" w:color="auto" w:fill="D9D9D9" w:themeFill="background1" w:themeFillShade="D9"/>
          </w:tcPr>
          <w:p w14:paraId="059A5000" w14:textId="77777777" w:rsidR="006734E5" w:rsidRPr="00B96967" w:rsidRDefault="006734E5" w:rsidP="00D97771">
            <w:pPr>
              <w:rPr>
                <w:color w:val="3C3C3C" w:themeColor="background2" w:themeShade="40"/>
                <w:sz w:val="20"/>
                <w:szCs w:val="20"/>
              </w:rPr>
            </w:pPr>
            <w:r w:rsidRPr="00B96967">
              <w:rPr>
                <w:color w:val="3C3C3C" w:themeColor="background2" w:themeShade="40"/>
                <w:sz w:val="20"/>
                <w:szCs w:val="20"/>
              </w:rPr>
              <w:t>EFFICIENCY</w:t>
            </w:r>
            <w:r w:rsidRPr="00B96967">
              <w:rPr>
                <w:rFonts w:eastAsia="Corbel"/>
                <w:color w:val="3C3C3C" w:themeColor="background2" w:themeShade="40"/>
                <w:sz w:val="20"/>
                <w:szCs w:val="20"/>
              </w:rPr>
              <w:t xml:space="preserve"> - Is Disaster READY making appropriate use of Australia’s and our partners’ time and resources to achieve outcomes?</w:t>
            </w:r>
          </w:p>
        </w:tc>
      </w:tr>
      <w:tr w:rsidR="007363D0" w:rsidRPr="00B96967" w14:paraId="7E6C341C" w14:textId="77777777" w:rsidTr="00B96967">
        <w:trPr>
          <w:trHeight w:val="728"/>
        </w:trPr>
        <w:tc>
          <w:tcPr>
            <w:tcW w:w="3410" w:type="pct"/>
          </w:tcPr>
          <w:p w14:paraId="523C8B60" w14:textId="77777777" w:rsidR="006734E5" w:rsidRPr="00B96967" w:rsidRDefault="006734E5" w:rsidP="006734E5">
            <w:pPr>
              <w:pStyle w:val="ListParagraph"/>
              <w:numPr>
                <w:ilvl w:val="1"/>
                <w:numId w:val="38"/>
              </w:numPr>
              <w:spacing w:after="0"/>
              <w:rPr>
                <w:rFonts w:eastAsia="Corbel"/>
                <w:color w:val="3C3C3C" w:themeColor="background2" w:themeShade="40"/>
                <w:sz w:val="20"/>
                <w:szCs w:val="20"/>
              </w:rPr>
            </w:pPr>
            <w:r w:rsidRPr="00B96967">
              <w:rPr>
                <w:rFonts w:eastAsia="Corbel"/>
                <w:color w:val="3C3C3C" w:themeColor="background2" w:themeShade="40"/>
                <w:sz w:val="20"/>
                <w:szCs w:val="20"/>
              </w:rPr>
              <w:t>What evidence is there that the program is making appropriate use of time and resources to achieve outcomes?</w:t>
            </w:r>
          </w:p>
        </w:tc>
        <w:tc>
          <w:tcPr>
            <w:tcW w:w="1590" w:type="pct"/>
          </w:tcPr>
          <w:p w14:paraId="77BBB7F7"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NGO annual reports</w:t>
            </w:r>
          </w:p>
          <w:p w14:paraId="778D739E" w14:textId="6405E449"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Annual review by Steering Committee</w:t>
            </w:r>
          </w:p>
          <w:p w14:paraId="08995C07"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Independent evaluation</w:t>
            </w:r>
          </w:p>
        </w:tc>
      </w:tr>
      <w:tr w:rsidR="007363D0" w:rsidRPr="00B96967" w14:paraId="39049557" w14:textId="77777777" w:rsidTr="00B96967">
        <w:trPr>
          <w:trHeight w:val="449"/>
        </w:trPr>
        <w:tc>
          <w:tcPr>
            <w:tcW w:w="3410" w:type="pct"/>
          </w:tcPr>
          <w:p w14:paraId="1817FF86" w14:textId="77777777" w:rsidR="006734E5" w:rsidRPr="00B96967" w:rsidRDefault="006734E5" w:rsidP="006734E5">
            <w:pPr>
              <w:pStyle w:val="ListParagraph"/>
              <w:numPr>
                <w:ilvl w:val="1"/>
                <w:numId w:val="38"/>
              </w:numPr>
              <w:spacing w:after="0"/>
              <w:rPr>
                <w:rFonts w:eastAsia="Corbel"/>
                <w:color w:val="3C3C3C" w:themeColor="background2" w:themeShade="40"/>
                <w:sz w:val="20"/>
                <w:szCs w:val="20"/>
              </w:rPr>
            </w:pPr>
            <w:r w:rsidRPr="00B96967">
              <w:rPr>
                <w:rFonts w:eastAsia="Corbel"/>
                <w:color w:val="3C3C3C" w:themeColor="background2" w:themeShade="40"/>
                <w:sz w:val="20"/>
                <w:szCs w:val="20"/>
              </w:rPr>
              <w:t>Do predicted budgets compare well to actual expenditure?</w:t>
            </w:r>
          </w:p>
        </w:tc>
        <w:tc>
          <w:tcPr>
            <w:tcW w:w="1590" w:type="pct"/>
          </w:tcPr>
          <w:p w14:paraId="6BB27A24" w14:textId="06199A8B"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DFAT/</w:t>
            </w:r>
            <w:r w:rsidR="0095713B" w:rsidRPr="00B96967">
              <w:rPr>
                <w:rFonts w:eastAsia="Corbel"/>
                <w:color w:val="3C3C3C" w:themeColor="background2" w:themeShade="40"/>
                <w:sz w:val="20"/>
                <w:szCs w:val="20"/>
              </w:rPr>
              <w:t xml:space="preserve">AHP </w:t>
            </w:r>
            <w:r w:rsidRPr="00B96967">
              <w:rPr>
                <w:rFonts w:eastAsia="Corbel"/>
                <w:color w:val="3C3C3C" w:themeColor="background2" w:themeShade="40"/>
                <w:sz w:val="20"/>
                <w:szCs w:val="20"/>
              </w:rPr>
              <w:t>SU assessment</w:t>
            </w:r>
          </w:p>
        </w:tc>
      </w:tr>
      <w:tr w:rsidR="007363D0" w:rsidRPr="00B96967" w14:paraId="2BED2E79" w14:textId="77777777" w:rsidTr="00B96967">
        <w:trPr>
          <w:trHeight w:val="611"/>
        </w:trPr>
        <w:tc>
          <w:tcPr>
            <w:tcW w:w="3410" w:type="pct"/>
          </w:tcPr>
          <w:p w14:paraId="7FE1F18F" w14:textId="2C128366" w:rsidR="006734E5" w:rsidRPr="00B96967" w:rsidRDefault="006734E5" w:rsidP="006734E5">
            <w:pPr>
              <w:pStyle w:val="ListParagraph"/>
              <w:numPr>
                <w:ilvl w:val="1"/>
                <w:numId w:val="38"/>
              </w:numPr>
              <w:spacing w:after="0"/>
              <w:rPr>
                <w:rFonts w:eastAsia="Corbel"/>
                <w:color w:val="3C3C3C" w:themeColor="background2" w:themeShade="40"/>
                <w:sz w:val="20"/>
                <w:szCs w:val="20"/>
              </w:rPr>
            </w:pPr>
            <w:r w:rsidRPr="00B96967">
              <w:rPr>
                <w:rFonts w:eastAsia="Corbel"/>
                <w:color w:val="3C3C3C" w:themeColor="background2" w:themeShade="40"/>
                <w:sz w:val="20"/>
                <w:szCs w:val="20"/>
              </w:rPr>
              <w:t xml:space="preserve">What has been the value-add of the ANGO headquarters and the </w:t>
            </w:r>
            <w:r w:rsidR="0095713B" w:rsidRPr="00B96967">
              <w:rPr>
                <w:rFonts w:eastAsia="Corbel"/>
                <w:color w:val="3C3C3C" w:themeColor="background2" w:themeShade="40"/>
                <w:sz w:val="20"/>
                <w:szCs w:val="20"/>
              </w:rPr>
              <w:t xml:space="preserve">AHP </w:t>
            </w:r>
            <w:r w:rsidRPr="00B96967">
              <w:rPr>
                <w:rFonts w:eastAsia="Corbel"/>
                <w:color w:val="3C3C3C" w:themeColor="background2" w:themeShade="40"/>
                <w:sz w:val="20"/>
                <w:szCs w:val="20"/>
              </w:rPr>
              <w:t>SU?</w:t>
            </w:r>
          </w:p>
        </w:tc>
        <w:tc>
          <w:tcPr>
            <w:tcW w:w="1590" w:type="pct"/>
          </w:tcPr>
          <w:p w14:paraId="19FCFBAE"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NGO annual reports</w:t>
            </w:r>
          </w:p>
          <w:p w14:paraId="194FF816"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Independent evaluation</w:t>
            </w:r>
          </w:p>
        </w:tc>
      </w:tr>
      <w:tr w:rsidR="007363D0" w:rsidRPr="00B96967" w14:paraId="3F380606" w14:textId="77777777" w:rsidTr="00B96967">
        <w:trPr>
          <w:trHeight w:val="728"/>
        </w:trPr>
        <w:tc>
          <w:tcPr>
            <w:tcW w:w="3410" w:type="pct"/>
          </w:tcPr>
          <w:p w14:paraId="451CA090" w14:textId="77777777" w:rsidR="006734E5" w:rsidRPr="00B96967" w:rsidRDefault="006734E5" w:rsidP="006734E5">
            <w:pPr>
              <w:pStyle w:val="ListParagraph"/>
              <w:numPr>
                <w:ilvl w:val="1"/>
                <w:numId w:val="38"/>
              </w:numPr>
              <w:spacing w:after="0"/>
              <w:rPr>
                <w:rFonts w:eastAsia="Corbel"/>
                <w:color w:val="3C3C3C" w:themeColor="background2" w:themeShade="40"/>
                <w:sz w:val="20"/>
                <w:szCs w:val="20"/>
              </w:rPr>
            </w:pPr>
            <w:r w:rsidRPr="00B96967">
              <w:rPr>
                <w:rFonts w:eastAsia="Corbel"/>
                <w:color w:val="3C3C3C" w:themeColor="background2" w:themeShade="40"/>
                <w:sz w:val="20"/>
                <w:szCs w:val="20"/>
              </w:rPr>
              <w:t>Has the coordination between NGOs in-country been worth the effort?</w:t>
            </w:r>
          </w:p>
        </w:tc>
        <w:tc>
          <w:tcPr>
            <w:tcW w:w="1590" w:type="pct"/>
          </w:tcPr>
          <w:p w14:paraId="76488E86" w14:textId="5113A840" w:rsidR="006734E5" w:rsidRPr="00B96967" w:rsidRDefault="009D0B2B"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Country Committee</w:t>
            </w:r>
            <w:r w:rsidR="006734E5" w:rsidRPr="00B96967">
              <w:rPr>
                <w:rFonts w:eastAsia="Corbel"/>
                <w:color w:val="3C3C3C" w:themeColor="background2" w:themeShade="40"/>
                <w:sz w:val="20"/>
                <w:szCs w:val="20"/>
              </w:rPr>
              <w:t xml:space="preserve"> annual reports</w:t>
            </w:r>
          </w:p>
          <w:p w14:paraId="58909F31"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Independent evaluation</w:t>
            </w:r>
          </w:p>
        </w:tc>
      </w:tr>
      <w:tr w:rsidR="007363D0" w:rsidRPr="00B96967" w14:paraId="08B43233" w14:textId="77777777" w:rsidTr="00B96967">
        <w:trPr>
          <w:trHeight w:val="575"/>
        </w:trPr>
        <w:tc>
          <w:tcPr>
            <w:tcW w:w="3410" w:type="pct"/>
          </w:tcPr>
          <w:p w14:paraId="634BEB3F" w14:textId="7A2A7005" w:rsidR="006734E5" w:rsidRPr="00B96967" w:rsidRDefault="006734E5" w:rsidP="006734E5">
            <w:pPr>
              <w:pStyle w:val="ListParagraph"/>
              <w:numPr>
                <w:ilvl w:val="1"/>
                <w:numId w:val="38"/>
              </w:numPr>
              <w:spacing w:after="0"/>
              <w:rPr>
                <w:rFonts w:eastAsia="Corbel"/>
                <w:color w:val="3C3C3C" w:themeColor="background2" w:themeShade="40"/>
                <w:sz w:val="20"/>
                <w:szCs w:val="20"/>
              </w:rPr>
            </w:pPr>
            <w:r w:rsidRPr="00B96967">
              <w:rPr>
                <w:rFonts w:eastAsia="Corbel"/>
                <w:color w:val="3C3C3C" w:themeColor="background2" w:themeShade="40"/>
                <w:sz w:val="20"/>
                <w:szCs w:val="20"/>
              </w:rPr>
              <w:lastRenderedPageBreak/>
              <w:t xml:space="preserve">Have </w:t>
            </w:r>
            <w:r w:rsidR="00F83E02" w:rsidRPr="00B96967">
              <w:rPr>
                <w:rFonts w:eastAsia="Corbel"/>
                <w:color w:val="3C3C3C" w:themeColor="background2" w:themeShade="40"/>
                <w:sz w:val="20"/>
                <w:szCs w:val="20"/>
              </w:rPr>
              <w:t>shared s</w:t>
            </w:r>
            <w:r w:rsidR="00BF1A40" w:rsidRPr="00B96967">
              <w:rPr>
                <w:rFonts w:eastAsia="Corbel"/>
                <w:color w:val="3C3C3C" w:themeColor="background2" w:themeShade="40"/>
                <w:sz w:val="20"/>
                <w:szCs w:val="20"/>
              </w:rPr>
              <w:t>ervices</w:t>
            </w:r>
            <w:r w:rsidRPr="00B96967">
              <w:rPr>
                <w:rFonts w:eastAsia="Corbel"/>
                <w:color w:val="3C3C3C" w:themeColor="background2" w:themeShade="40"/>
                <w:sz w:val="20"/>
                <w:szCs w:val="20"/>
              </w:rPr>
              <w:t xml:space="preserve"> been worth the effort?</w:t>
            </w:r>
          </w:p>
        </w:tc>
        <w:tc>
          <w:tcPr>
            <w:tcW w:w="1590" w:type="pct"/>
          </w:tcPr>
          <w:p w14:paraId="728CAC45" w14:textId="491868AD" w:rsidR="006734E5" w:rsidRPr="00B96967" w:rsidRDefault="009D0B2B"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Country Committee</w:t>
            </w:r>
            <w:r w:rsidR="006734E5" w:rsidRPr="00B96967">
              <w:rPr>
                <w:rFonts w:eastAsia="Corbel"/>
                <w:color w:val="3C3C3C" w:themeColor="background2" w:themeShade="40"/>
                <w:sz w:val="20"/>
                <w:szCs w:val="20"/>
              </w:rPr>
              <w:t xml:space="preserve"> annual reports</w:t>
            </w:r>
          </w:p>
          <w:p w14:paraId="19B9D1D9"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Independent evaluation</w:t>
            </w:r>
          </w:p>
        </w:tc>
      </w:tr>
      <w:tr w:rsidR="007363D0" w:rsidRPr="00B96967" w14:paraId="23115019" w14:textId="77777777" w:rsidTr="00D97771">
        <w:tc>
          <w:tcPr>
            <w:tcW w:w="5000" w:type="pct"/>
            <w:gridSpan w:val="2"/>
            <w:shd w:val="clear" w:color="auto" w:fill="D9D9D9" w:themeFill="background1" w:themeFillShade="D9"/>
          </w:tcPr>
          <w:p w14:paraId="03F68322" w14:textId="77777777" w:rsidR="006734E5" w:rsidRPr="00B96967" w:rsidRDefault="006734E5" w:rsidP="00D97771">
            <w:pPr>
              <w:rPr>
                <w:color w:val="3C3C3C" w:themeColor="background2" w:themeShade="40"/>
                <w:sz w:val="20"/>
                <w:szCs w:val="20"/>
              </w:rPr>
            </w:pPr>
            <w:r w:rsidRPr="00B96967">
              <w:rPr>
                <w:color w:val="3C3C3C" w:themeColor="background2" w:themeShade="40"/>
                <w:sz w:val="20"/>
                <w:szCs w:val="20"/>
              </w:rPr>
              <w:t>RELEVANCE - Is this still the right thing to do?</w:t>
            </w:r>
          </w:p>
        </w:tc>
      </w:tr>
      <w:tr w:rsidR="007363D0" w:rsidRPr="00B96967" w14:paraId="46EF770D" w14:textId="77777777" w:rsidTr="00B96967">
        <w:trPr>
          <w:trHeight w:val="728"/>
        </w:trPr>
        <w:tc>
          <w:tcPr>
            <w:tcW w:w="3410" w:type="pct"/>
          </w:tcPr>
          <w:p w14:paraId="6A3A9104" w14:textId="48748E3D" w:rsidR="006734E5" w:rsidRPr="00B96967" w:rsidRDefault="006734E5" w:rsidP="009603A4">
            <w:pPr>
              <w:pStyle w:val="ListParagraph"/>
              <w:numPr>
                <w:ilvl w:val="1"/>
                <w:numId w:val="11"/>
              </w:numPr>
              <w:spacing w:after="0"/>
              <w:ind w:left="426" w:hanging="426"/>
              <w:rPr>
                <w:rFonts w:eastAsia="Corbel"/>
                <w:color w:val="3C3C3C" w:themeColor="background2" w:themeShade="40"/>
                <w:sz w:val="20"/>
                <w:szCs w:val="20"/>
              </w:rPr>
            </w:pPr>
            <w:r w:rsidRPr="00B96967">
              <w:rPr>
                <w:rFonts w:eastAsia="Corbel"/>
                <w:color w:val="3C3C3C" w:themeColor="background2" w:themeShade="40"/>
                <w:sz w:val="20"/>
                <w:szCs w:val="20"/>
              </w:rPr>
              <w:t>Have changes to the economic, social or political context affected the relevance of the program?</w:t>
            </w:r>
          </w:p>
        </w:tc>
        <w:tc>
          <w:tcPr>
            <w:tcW w:w="1590" w:type="pct"/>
          </w:tcPr>
          <w:p w14:paraId="63DA40A9"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NGO annual reports</w:t>
            </w:r>
          </w:p>
        </w:tc>
      </w:tr>
      <w:tr w:rsidR="007363D0" w:rsidRPr="00B96967" w14:paraId="4EB24855" w14:textId="77777777" w:rsidTr="00B96967">
        <w:trPr>
          <w:trHeight w:val="638"/>
        </w:trPr>
        <w:tc>
          <w:tcPr>
            <w:tcW w:w="3410" w:type="pct"/>
          </w:tcPr>
          <w:p w14:paraId="6BB6F786" w14:textId="6E4C85D9" w:rsidR="006734E5" w:rsidRPr="00B96967" w:rsidRDefault="006734E5" w:rsidP="009603A4">
            <w:pPr>
              <w:pStyle w:val="ListParagraph"/>
              <w:numPr>
                <w:ilvl w:val="1"/>
                <w:numId w:val="41"/>
              </w:numPr>
              <w:spacing w:after="0"/>
              <w:rPr>
                <w:rFonts w:eastAsia="Corbel"/>
                <w:color w:val="3C3C3C" w:themeColor="background2" w:themeShade="40"/>
                <w:sz w:val="20"/>
                <w:szCs w:val="20"/>
              </w:rPr>
            </w:pPr>
            <w:r w:rsidRPr="00B96967">
              <w:rPr>
                <w:rFonts w:eastAsia="Corbel"/>
                <w:color w:val="3C3C3C" w:themeColor="background2" w:themeShade="40"/>
                <w:sz w:val="20"/>
                <w:szCs w:val="20"/>
              </w:rPr>
              <w:t>Are the program’s activities and approach the most appropriate way to achieve its outcomes?</w:t>
            </w:r>
          </w:p>
        </w:tc>
        <w:tc>
          <w:tcPr>
            <w:tcW w:w="1590" w:type="pct"/>
          </w:tcPr>
          <w:p w14:paraId="6542CCA8"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NGO annual reports</w:t>
            </w:r>
          </w:p>
        </w:tc>
      </w:tr>
      <w:tr w:rsidR="007363D0" w:rsidRPr="00B96967" w14:paraId="2DBFC757" w14:textId="77777777" w:rsidTr="00B96967">
        <w:trPr>
          <w:trHeight w:val="728"/>
        </w:trPr>
        <w:tc>
          <w:tcPr>
            <w:tcW w:w="3410" w:type="pct"/>
          </w:tcPr>
          <w:p w14:paraId="288DD606" w14:textId="1B3666AB" w:rsidR="006734E5" w:rsidRPr="00B96967" w:rsidRDefault="006734E5" w:rsidP="009603A4">
            <w:pPr>
              <w:pStyle w:val="ListParagraph"/>
              <w:numPr>
                <w:ilvl w:val="1"/>
                <w:numId w:val="41"/>
              </w:numPr>
              <w:spacing w:after="0"/>
              <w:rPr>
                <w:rFonts w:eastAsia="Corbel"/>
                <w:color w:val="3C3C3C" w:themeColor="background2" w:themeShade="40"/>
                <w:sz w:val="20"/>
                <w:szCs w:val="20"/>
              </w:rPr>
            </w:pPr>
            <w:r w:rsidRPr="00B96967">
              <w:rPr>
                <w:rFonts w:eastAsia="Corbel"/>
                <w:color w:val="3C3C3C" w:themeColor="background2" w:themeShade="40"/>
                <w:sz w:val="20"/>
                <w:szCs w:val="20"/>
              </w:rPr>
              <w:t>To what extent has DFAT Post been engaged in the program (e.g. Post awareness of and support for Disaster READY)</w:t>
            </w:r>
            <w:r w:rsidR="00E724F5" w:rsidRPr="00B96967">
              <w:rPr>
                <w:rFonts w:eastAsia="Corbel"/>
                <w:color w:val="3C3C3C" w:themeColor="background2" w:themeShade="40"/>
                <w:sz w:val="20"/>
                <w:szCs w:val="20"/>
              </w:rPr>
              <w:t>?</w:t>
            </w:r>
          </w:p>
        </w:tc>
        <w:tc>
          <w:tcPr>
            <w:tcW w:w="1590" w:type="pct"/>
          </w:tcPr>
          <w:p w14:paraId="6458624B" w14:textId="1733A3D3"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Steering C</w:t>
            </w:r>
            <w:r w:rsidR="0095713B" w:rsidRPr="00B96967">
              <w:rPr>
                <w:rFonts w:eastAsia="Corbel"/>
                <w:color w:val="3C3C3C" w:themeColor="background2" w:themeShade="40"/>
                <w:sz w:val="20"/>
                <w:szCs w:val="20"/>
              </w:rPr>
              <w:t>ommittee</w:t>
            </w:r>
            <w:r w:rsidRPr="00B96967">
              <w:rPr>
                <w:rFonts w:eastAsia="Corbel"/>
                <w:color w:val="3C3C3C" w:themeColor="background2" w:themeShade="40"/>
                <w:sz w:val="20"/>
                <w:szCs w:val="20"/>
              </w:rPr>
              <w:t xml:space="preserve"> (DFAT and ANGOs informed by Post and </w:t>
            </w:r>
            <w:r w:rsidR="009D0B2B" w:rsidRPr="00B96967">
              <w:rPr>
                <w:rFonts w:eastAsia="Corbel"/>
                <w:color w:val="3C3C3C" w:themeColor="background2" w:themeShade="40"/>
                <w:sz w:val="20"/>
                <w:szCs w:val="20"/>
              </w:rPr>
              <w:t>Country Committee</w:t>
            </w:r>
            <w:r w:rsidRPr="00B96967">
              <w:rPr>
                <w:rFonts w:eastAsia="Corbel"/>
                <w:color w:val="3C3C3C" w:themeColor="background2" w:themeShade="40"/>
                <w:sz w:val="20"/>
                <w:szCs w:val="20"/>
              </w:rPr>
              <w:t>s)</w:t>
            </w:r>
          </w:p>
        </w:tc>
      </w:tr>
      <w:tr w:rsidR="007363D0" w:rsidRPr="00B96967" w14:paraId="4DEFED40" w14:textId="77777777" w:rsidTr="00B96967">
        <w:trPr>
          <w:trHeight w:val="728"/>
        </w:trPr>
        <w:tc>
          <w:tcPr>
            <w:tcW w:w="3410" w:type="pct"/>
          </w:tcPr>
          <w:p w14:paraId="314F2441" w14:textId="4B8B038D" w:rsidR="006734E5" w:rsidRPr="00B96967" w:rsidRDefault="006734E5" w:rsidP="009603A4">
            <w:pPr>
              <w:pStyle w:val="ListParagraph"/>
              <w:numPr>
                <w:ilvl w:val="1"/>
                <w:numId w:val="41"/>
              </w:numPr>
              <w:spacing w:after="0"/>
              <w:rPr>
                <w:rFonts w:eastAsia="Corbel"/>
                <w:color w:val="3C3C3C" w:themeColor="background2" w:themeShade="40"/>
                <w:sz w:val="20"/>
                <w:szCs w:val="20"/>
              </w:rPr>
            </w:pPr>
            <w:r w:rsidRPr="00B96967">
              <w:rPr>
                <w:rFonts w:eastAsia="Corbel"/>
                <w:color w:val="3C3C3C" w:themeColor="background2" w:themeShade="40"/>
                <w:sz w:val="20"/>
                <w:szCs w:val="20"/>
              </w:rPr>
              <w:t>Are the program results, engagement with and from Post, and NGO coordination sufficient to continue funding the activities in each country?</w:t>
            </w:r>
          </w:p>
        </w:tc>
        <w:tc>
          <w:tcPr>
            <w:tcW w:w="1590" w:type="pct"/>
          </w:tcPr>
          <w:p w14:paraId="442EAEAD" w14:textId="3320902C"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DFAT assessment of NGO annual reports and feedback from Post</w:t>
            </w:r>
          </w:p>
        </w:tc>
      </w:tr>
      <w:tr w:rsidR="007363D0" w:rsidRPr="00B96967" w14:paraId="6F76AD95" w14:textId="77777777" w:rsidTr="00D97771">
        <w:tc>
          <w:tcPr>
            <w:tcW w:w="5000" w:type="pct"/>
            <w:gridSpan w:val="2"/>
            <w:shd w:val="clear" w:color="auto" w:fill="D9D9D9" w:themeFill="background1" w:themeFillShade="D9"/>
          </w:tcPr>
          <w:p w14:paraId="086D9841" w14:textId="77777777" w:rsidR="006734E5" w:rsidRPr="00B96967" w:rsidRDefault="006734E5" w:rsidP="00D97771">
            <w:pPr>
              <w:rPr>
                <w:color w:val="3C3C3C" w:themeColor="background2" w:themeShade="40"/>
                <w:sz w:val="20"/>
                <w:szCs w:val="20"/>
              </w:rPr>
            </w:pPr>
            <w:r w:rsidRPr="00B96967">
              <w:rPr>
                <w:color w:val="3C3C3C" w:themeColor="background2" w:themeShade="40"/>
                <w:sz w:val="20"/>
                <w:szCs w:val="20"/>
              </w:rPr>
              <w:t xml:space="preserve">SUSTAINABILITY - </w:t>
            </w:r>
            <w:r w:rsidRPr="00B96967">
              <w:rPr>
                <w:rFonts w:eastAsia="Corbel"/>
                <w:color w:val="3C3C3C" w:themeColor="background2" w:themeShade="40"/>
                <w:sz w:val="20"/>
                <w:szCs w:val="20"/>
              </w:rPr>
              <w:t>Will the benefits of Disaster READY last?</w:t>
            </w:r>
          </w:p>
        </w:tc>
      </w:tr>
      <w:tr w:rsidR="007363D0" w:rsidRPr="00B96967" w14:paraId="1EDBE966" w14:textId="77777777" w:rsidTr="00B96967">
        <w:trPr>
          <w:trHeight w:val="728"/>
        </w:trPr>
        <w:tc>
          <w:tcPr>
            <w:tcW w:w="3410" w:type="pct"/>
          </w:tcPr>
          <w:p w14:paraId="36EE2145" w14:textId="77777777" w:rsidR="006734E5" w:rsidRPr="00B96967" w:rsidRDefault="006734E5" w:rsidP="006734E5">
            <w:pPr>
              <w:pStyle w:val="ListParagraph"/>
              <w:numPr>
                <w:ilvl w:val="1"/>
                <w:numId w:val="39"/>
              </w:numPr>
              <w:spacing w:after="0"/>
              <w:rPr>
                <w:rFonts w:eastAsia="Corbel"/>
                <w:color w:val="3C3C3C" w:themeColor="background2" w:themeShade="40"/>
                <w:sz w:val="20"/>
                <w:szCs w:val="20"/>
              </w:rPr>
            </w:pPr>
            <w:r w:rsidRPr="00B96967">
              <w:rPr>
                <w:rFonts w:eastAsia="Corbel"/>
                <w:color w:val="3C3C3C" w:themeColor="background2" w:themeShade="40"/>
                <w:sz w:val="20"/>
                <w:szCs w:val="20"/>
              </w:rPr>
              <w:t>To what extent is the program using local systems and processes and strengthening the capacity of local institutions?</w:t>
            </w:r>
          </w:p>
        </w:tc>
        <w:tc>
          <w:tcPr>
            <w:tcW w:w="1590" w:type="pct"/>
          </w:tcPr>
          <w:p w14:paraId="687F1C85"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NGO annual reports</w:t>
            </w:r>
          </w:p>
          <w:p w14:paraId="6F760CF4"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Possibly annual evaluation</w:t>
            </w:r>
          </w:p>
        </w:tc>
      </w:tr>
      <w:tr w:rsidR="007363D0" w:rsidRPr="00B96967" w14:paraId="67913045" w14:textId="77777777" w:rsidTr="00B96967">
        <w:trPr>
          <w:trHeight w:val="728"/>
        </w:trPr>
        <w:tc>
          <w:tcPr>
            <w:tcW w:w="3410" w:type="pct"/>
          </w:tcPr>
          <w:p w14:paraId="7595B229" w14:textId="77777777" w:rsidR="006734E5" w:rsidRPr="00B96967" w:rsidRDefault="006734E5" w:rsidP="006734E5">
            <w:pPr>
              <w:pStyle w:val="ListParagraph"/>
              <w:numPr>
                <w:ilvl w:val="1"/>
                <w:numId w:val="39"/>
              </w:numPr>
              <w:spacing w:after="0"/>
              <w:rPr>
                <w:rFonts w:eastAsia="Corbel"/>
                <w:color w:val="3C3C3C" w:themeColor="background2" w:themeShade="40"/>
                <w:sz w:val="20"/>
                <w:szCs w:val="20"/>
              </w:rPr>
            </w:pPr>
            <w:r w:rsidRPr="00B96967">
              <w:rPr>
                <w:rFonts w:eastAsia="Corbel"/>
                <w:color w:val="3C3C3C" w:themeColor="background2" w:themeShade="40"/>
                <w:sz w:val="20"/>
                <w:szCs w:val="20"/>
              </w:rPr>
              <w:t>Are climate change and disaster risks associated with the program identified and effectively managed?</w:t>
            </w:r>
          </w:p>
        </w:tc>
        <w:tc>
          <w:tcPr>
            <w:tcW w:w="1590" w:type="pct"/>
          </w:tcPr>
          <w:p w14:paraId="0AE0D35F"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NGO annual reports</w:t>
            </w:r>
          </w:p>
          <w:p w14:paraId="6E199C61"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Independent evaluation</w:t>
            </w:r>
          </w:p>
        </w:tc>
      </w:tr>
      <w:tr w:rsidR="007363D0" w:rsidRPr="00B96967" w14:paraId="563FFAE5" w14:textId="77777777" w:rsidTr="00B96967">
        <w:trPr>
          <w:trHeight w:val="728"/>
        </w:trPr>
        <w:tc>
          <w:tcPr>
            <w:tcW w:w="3410" w:type="pct"/>
          </w:tcPr>
          <w:p w14:paraId="47F5AACC" w14:textId="77777777" w:rsidR="006734E5" w:rsidRPr="00B96967" w:rsidRDefault="006734E5" w:rsidP="006734E5">
            <w:pPr>
              <w:pStyle w:val="ListParagraph"/>
              <w:numPr>
                <w:ilvl w:val="1"/>
                <w:numId w:val="39"/>
              </w:numPr>
              <w:spacing w:after="0"/>
              <w:rPr>
                <w:rFonts w:eastAsia="Corbel"/>
                <w:color w:val="3C3C3C" w:themeColor="background2" w:themeShade="40"/>
                <w:sz w:val="20"/>
                <w:szCs w:val="20"/>
              </w:rPr>
            </w:pPr>
            <w:r w:rsidRPr="00B96967">
              <w:rPr>
                <w:rFonts w:eastAsia="Corbel"/>
                <w:color w:val="3C3C3C" w:themeColor="background2" w:themeShade="40"/>
                <w:sz w:val="20"/>
                <w:szCs w:val="20"/>
              </w:rPr>
              <w:t>What evidence is there that benefits are being sustained?</w:t>
            </w:r>
          </w:p>
        </w:tc>
        <w:tc>
          <w:tcPr>
            <w:tcW w:w="1590" w:type="pct"/>
          </w:tcPr>
          <w:p w14:paraId="36A624E2"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NGO annual reports</w:t>
            </w:r>
          </w:p>
          <w:p w14:paraId="1EE1C49A" w14:textId="77777777" w:rsidR="006734E5" w:rsidRPr="00B96967" w:rsidRDefault="006734E5" w:rsidP="00D97771">
            <w:pPr>
              <w:contextualSpacing/>
              <w:rPr>
                <w:rFonts w:eastAsia="Corbel"/>
                <w:color w:val="3C3C3C" w:themeColor="background2" w:themeShade="40"/>
                <w:sz w:val="20"/>
                <w:szCs w:val="20"/>
              </w:rPr>
            </w:pPr>
            <w:r w:rsidRPr="00B96967">
              <w:rPr>
                <w:rFonts w:eastAsia="Corbel"/>
                <w:color w:val="3C3C3C" w:themeColor="background2" w:themeShade="40"/>
                <w:sz w:val="20"/>
                <w:szCs w:val="20"/>
              </w:rPr>
              <w:t>Independent evaluation</w:t>
            </w:r>
          </w:p>
        </w:tc>
      </w:tr>
    </w:tbl>
    <w:p w14:paraId="6F8910CF" w14:textId="77777777" w:rsidR="006734E5" w:rsidRPr="00394C86" w:rsidRDefault="006734E5" w:rsidP="006734E5"/>
    <w:p w14:paraId="6CD99753" w14:textId="00F0D28B" w:rsidR="0098690E" w:rsidRPr="00AE30F0" w:rsidRDefault="00B672F7" w:rsidP="00AE30F0">
      <w:pPr>
        <w:pStyle w:val="Heading1"/>
        <w:rPr>
          <w:rFonts w:ascii="Calibri" w:hAnsi="Calibri" w:cs="Calibri"/>
          <w:lang w:val="en-AU"/>
        </w:rPr>
      </w:pPr>
      <w:bookmarkStart w:id="53" w:name="_Toc501451685"/>
      <w:r w:rsidRPr="00AE30F0">
        <w:rPr>
          <w:rFonts w:ascii="Calibri" w:hAnsi="Calibri" w:cs="Calibri"/>
          <w:lang w:val="en-AU"/>
        </w:rPr>
        <w:t>Communications</w:t>
      </w:r>
      <w:bookmarkEnd w:id="53"/>
      <w:r w:rsidRPr="00AE30F0">
        <w:rPr>
          <w:rFonts w:ascii="Calibri" w:hAnsi="Calibri" w:cs="Calibri"/>
          <w:lang w:val="en-AU"/>
        </w:rPr>
        <w:t xml:space="preserve"> </w:t>
      </w:r>
    </w:p>
    <w:p w14:paraId="51EDFA35" w14:textId="79B32EAD" w:rsidR="00CE25E2" w:rsidRPr="00394C86" w:rsidRDefault="0098690E" w:rsidP="00110706">
      <w:pPr>
        <w:rPr>
          <w:lang w:val="en-AU"/>
        </w:rPr>
      </w:pPr>
      <w:r w:rsidRPr="00394C86">
        <w:rPr>
          <w:color w:val="3C3C3C" w:themeColor="background2" w:themeShade="40"/>
          <w:lang w:val="en-AU"/>
        </w:rPr>
        <w:t>Communications in Disaster READY will be based on evidence of what is working and innovative in the program. A key objective is to promote the success of the Disas</w:t>
      </w:r>
      <w:r w:rsidR="0010609F" w:rsidRPr="00394C86">
        <w:rPr>
          <w:color w:val="3C3C3C" w:themeColor="background2" w:themeShade="40"/>
          <w:lang w:val="en-AU"/>
        </w:rPr>
        <w:t xml:space="preserve">ter READY program and </w:t>
      </w:r>
      <w:r w:rsidR="00C32AC9" w:rsidRPr="00394C86">
        <w:rPr>
          <w:color w:val="3C3C3C" w:themeColor="background2" w:themeShade="40"/>
          <w:lang w:val="en-AU"/>
        </w:rPr>
        <w:t xml:space="preserve">to </w:t>
      </w:r>
      <w:r w:rsidR="0010609F" w:rsidRPr="00394C86">
        <w:rPr>
          <w:color w:val="3C3C3C" w:themeColor="background2" w:themeShade="40"/>
          <w:lang w:val="en-AU"/>
        </w:rPr>
        <w:t>demonstrate Australia’</w:t>
      </w:r>
      <w:r w:rsidRPr="00394C86">
        <w:rPr>
          <w:color w:val="3C3C3C" w:themeColor="background2" w:themeShade="40"/>
          <w:lang w:val="en-AU"/>
        </w:rPr>
        <w:t xml:space="preserve">s </w:t>
      </w:r>
      <w:r w:rsidR="00E54FB9" w:rsidRPr="00394C86">
        <w:rPr>
          <w:color w:val="3C3C3C" w:themeColor="background2" w:themeShade="40"/>
          <w:lang w:val="en-AU"/>
        </w:rPr>
        <w:t xml:space="preserve">commitments to humanitarian system reform and </w:t>
      </w:r>
      <w:r w:rsidR="00306068" w:rsidRPr="00394C86">
        <w:rPr>
          <w:color w:val="3C3C3C" w:themeColor="background2" w:themeShade="40"/>
          <w:lang w:val="en-AU"/>
        </w:rPr>
        <w:t xml:space="preserve">the </w:t>
      </w:r>
      <w:r w:rsidRPr="00394C86">
        <w:rPr>
          <w:color w:val="3C3C3C" w:themeColor="background2" w:themeShade="40"/>
          <w:lang w:val="en-AU"/>
        </w:rPr>
        <w:t>implement</w:t>
      </w:r>
      <w:r w:rsidR="00306068" w:rsidRPr="00394C86">
        <w:rPr>
          <w:color w:val="3C3C3C" w:themeColor="background2" w:themeShade="40"/>
          <w:lang w:val="en-AU"/>
        </w:rPr>
        <w:t>ation of</w:t>
      </w:r>
      <w:r w:rsidRPr="00394C86">
        <w:rPr>
          <w:color w:val="3C3C3C" w:themeColor="background2" w:themeShade="40"/>
          <w:lang w:val="en-AU"/>
        </w:rPr>
        <w:t xml:space="preserve"> the </w:t>
      </w:r>
      <w:r w:rsidR="00306068" w:rsidRPr="00394C86">
        <w:rPr>
          <w:color w:val="3C3C3C" w:themeColor="background2" w:themeShade="40"/>
          <w:lang w:val="en-AU"/>
        </w:rPr>
        <w:t>W</w:t>
      </w:r>
      <w:r w:rsidR="00E35D78" w:rsidRPr="00394C86">
        <w:rPr>
          <w:color w:val="3C3C3C" w:themeColor="background2" w:themeShade="40"/>
          <w:lang w:val="en-AU"/>
        </w:rPr>
        <w:t xml:space="preserve">HS </w:t>
      </w:r>
      <w:r w:rsidRPr="00394C86">
        <w:rPr>
          <w:color w:val="3C3C3C" w:themeColor="background2" w:themeShade="40"/>
          <w:lang w:val="en-AU"/>
        </w:rPr>
        <w:t xml:space="preserve">Grand Bargain to a broad range of audiences. </w:t>
      </w:r>
      <w:r w:rsidR="00DB4D28" w:rsidRPr="00394C86">
        <w:rPr>
          <w:color w:val="3C3C3C" w:themeColor="background2" w:themeShade="40"/>
          <w:lang w:val="en-AU"/>
        </w:rPr>
        <w:t xml:space="preserve">Advocating the success of the approach to other donors </w:t>
      </w:r>
      <w:r w:rsidR="00AE30F0">
        <w:rPr>
          <w:color w:val="3C3C3C" w:themeColor="background2" w:themeShade="40"/>
          <w:lang w:val="en-AU"/>
        </w:rPr>
        <w:t>has the</w:t>
      </w:r>
      <w:r w:rsidR="00DB4D28" w:rsidRPr="00394C86">
        <w:rPr>
          <w:color w:val="3C3C3C" w:themeColor="background2" w:themeShade="40"/>
          <w:lang w:val="en-AU"/>
        </w:rPr>
        <w:t xml:space="preserve"> potential </w:t>
      </w:r>
      <w:r w:rsidR="00AE30F0">
        <w:rPr>
          <w:color w:val="3C3C3C" w:themeColor="background2" w:themeShade="40"/>
          <w:lang w:val="en-AU"/>
        </w:rPr>
        <w:t xml:space="preserve">to </w:t>
      </w:r>
      <w:r w:rsidR="00DB4D28" w:rsidRPr="00394C86">
        <w:rPr>
          <w:color w:val="3C3C3C" w:themeColor="background2" w:themeShade="40"/>
          <w:lang w:val="en-AU"/>
        </w:rPr>
        <w:t xml:space="preserve">leverage additional resources. </w:t>
      </w:r>
      <w:r w:rsidR="00A119BF" w:rsidRPr="00394C86">
        <w:rPr>
          <w:color w:val="3C3C3C" w:themeColor="background2" w:themeShade="40"/>
          <w:lang w:val="en-AU"/>
        </w:rPr>
        <w:t>Communications will help to promote Australia’s role in and commitment to the Pacific region, including</w:t>
      </w:r>
      <w:r w:rsidR="00E35D78" w:rsidRPr="00394C86">
        <w:rPr>
          <w:color w:val="3C3C3C" w:themeColor="background2" w:themeShade="40"/>
          <w:lang w:val="en-AU"/>
        </w:rPr>
        <w:t xml:space="preserve"> in the areas of</w:t>
      </w:r>
      <w:r w:rsidR="00A119BF" w:rsidRPr="00394C86">
        <w:rPr>
          <w:color w:val="3C3C3C" w:themeColor="background2" w:themeShade="40"/>
          <w:lang w:val="en-AU"/>
        </w:rPr>
        <w:t xml:space="preserve"> sustainable development and gender equality.</w:t>
      </w:r>
      <w:r w:rsidR="00DB4D28" w:rsidRPr="00394C86">
        <w:rPr>
          <w:color w:val="3C3C3C" w:themeColor="background2" w:themeShade="40"/>
          <w:lang w:val="en-AU"/>
        </w:rPr>
        <w:t xml:space="preserve"> </w:t>
      </w:r>
      <w:r w:rsidR="00921E6E">
        <w:rPr>
          <w:color w:val="3C3C3C" w:themeColor="background2" w:themeShade="40"/>
          <w:lang w:val="en-AU"/>
        </w:rPr>
        <w:br/>
      </w:r>
      <w:r w:rsidR="00921E6E">
        <w:rPr>
          <w:color w:val="3C3C3C" w:themeColor="background2" w:themeShade="40"/>
          <w:lang w:val="en-AU"/>
        </w:rPr>
        <w:br/>
      </w:r>
      <w:r w:rsidRPr="00394C86">
        <w:rPr>
          <w:color w:val="3C3C3C" w:themeColor="background2" w:themeShade="40"/>
          <w:lang w:val="en-AU"/>
        </w:rPr>
        <w:t>The AHP</w:t>
      </w:r>
      <w:r w:rsidR="00C3661D" w:rsidRPr="00394C86">
        <w:rPr>
          <w:color w:val="3C3C3C" w:themeColor="background2" w:themeShade="40"/>
          <w:lang w:val="en-AU"/>
        </w:rPr>
        <w:t xml:space="preserve"> </w:t>
      </w:r>
      <w:r w:rsidRPr="00394C86">
        <w:rPr>
          <w:color w:val="3C3C3C" w:themeColor="background2" w:themeShade="40"/>
          <w:lang w:val="en-AU"/>
        </w:rPr>
        <w:t>SU will lead on program communications in consultation with</w:t>
      </w:r>
      <w:r w:rsidR="00A119BF" w:rsidRPr="00394C86">
        <w:rPr>
          <w:color w:val="3C3C3C" w:themeColor="background2" w:themeShade="40"/>
          <w:lang w:val="en-AU"/>
        </w:rPr>
        <w:t xml:space="preserve"> the Steering Committee</w:t>
      </w:r>
      <w:r w:rsidRPr="00394C86">
        <w:rPr>
          <w:color w:val="3C3C3C" w:themeColor="background2" w:themeShade="40"/>
          <w:lang w:val="en-AU"/>
        </w:rPr>
        <w:t xml:space="preserve">. </w:t>
      </w:r>
      <w:r w:rsidR="00921E6E">
        <w:rPr>
          <w:color w:val="3C3C3C" w:themeColor="background2" w:themeShade="40"/>
          <w:lang w:val="en-AU"/>
        </w:rPr>
        <w:br/>
      </w:r>
      <w:r w:rsidR="00921E6E">
        <w:rPr>
          <w:color w:val="3C3C3C" w:themeColor="background2" w:themeShade="40"/>
          <w:lang w:val="en-AU"/>
        </w:rPr>
        <w:br/>
      </w:r>
      <w:r w:rsidRPr="00394C86">
        <w:rPr>
          <w:color w:val="3C3C3C" w:themeColor="background2" w:themeShade="40"/>
          <w:lang w:val="en-AU"/>
        </w:rPr>
        <w:t>The AHP</w:t>
      </w:r>
      <w:r w:rsidR="00C3661D" w:rsidRPr="00394C86">
        <w:rPr>
          <w:color w:val="3C3C3C" w:themeColor="background2" w:themeShade="40"/>
          <w:lang w:val="en-AU"/>
        </w:rPr>
        <w:t xml:space="preserve"> </w:t>
      </w:r>
      <w:r w:rsidRPr="00394C86">
        <w:rPr>
          <w:color w:val="3C3C3C" w:themeColor="background2" w:themeShade="40"/>
          <w:lang w:val="en-AU"/>
        </w:rPr>
        <w:t>SU will produce both country</w:t>
      </w:r>
      <w:r w:rsidR="00C32AC9" w:rsidRPr="00394C86">
        <w:rPr>
          <w:color w:val="3C3C3C" w:themeColor="background2" w:themeShade="40"/>
          <w:lang w:val="en-AU"/>
        </w:rPr>
        <w:t>-</w:t>
      </w:r>
      <w:r w:rsidRPr="00394C86">
        <w:rPr>
          <w:color w:val="3C3C3C" w:themeColor="background2" w:themeShade="40"/>
          <w:lang w:val="en-AU"/>
        </w:rPr>
        <w:t xml:space="preserve">specific and overall program stories about trends, </w:t>
      </w:r>
      <w:r w:rsidR="006325B1" w:rsidRPr="00394C86">
        <w:rPr>
          <w:color w:val="3C3C3C" w:themeColor="background2" w:themeShade="40"/>
          <w:lang w:val="en-AU"/>
        </w:rPr>
        <w:t>successes</w:t>
      </w:r>
      <w:r w:rsidRPr="00394C86">
        <w:rPr>
          <w:color w:val="3C3C3C" w:themeColor="background2" w:themeShade="40"/>
          <w:lang w:val="en-AU"/>
        </w:rPr>
        <w:t xml:space="preserve">, innovative elements, </w:t>
      </w:r>
      <w:r w:rsidR="00A119BF" w:rsidRPr="00394C86">
        <w:rPr>
          <w:color w:val="3C3C3C" w:themeColor="background2" w:themeShade="40"/>
          <w:lang w:val="en-AU"/>
        </w:rPr>
        <w:t xml:space="preserve">or </w:t>
      </w:r>
      <w:r w:rsidRPr="00394C86">
        <w:rPr>
          <w:color w:val="3C3C3C" w:themeColor="background2" w:themeShade="40"/>
          <w:lang w:val="en-AU"/>
        </w:rPr>
        <w:t xml:space="preserve">surprising </w:t>
      </w:r>
      <w:r w:rsidR="00A119BF" w:rsidRPr="00394C86">
        <w:rPr>
          <w:color w:val="3C3C3C" w:themeColor="background2" w:themeShade="40"/>
          <w:lang w:val="en-AU"/>
        </w:rPr>
        <w:t>results</w:t>
      </w:r>
      <w:r w:rsidRPr="00394C86">
        <w:rPr>
          <w:color w:val="3C3C3C" w:themeColor="background2" w:themeShade="40"/>
          <w:lang w:val="en-AU"/>
        </w:rPr>
        <w:t xml:space="preserve">. These will be drawn from data generated from the common indicators, annual reviews, and case studies. </w:t>
      </w:r>
      <w:r w:rsidR="00921E6E">
        <w:rPr>
          <w:color w:val="3C3C3C" w:themeColor="background2" w:themeShade="40"/>
          <w:lang w:val="en-AU"/>
        </w:rPr>
        <w:br/>
      </w:r>
      <w:r w:rsidR="00921E6E">
        <w:rPr>
          <w:color w:val="3C3C3C" w:themeColor="background2" w:themeShade="40"/>
          <w:lang w:val="en-AU"/>
        </w:rPr>
        <w:br/>
      </w:r>
      <w:r w:rsidR="00C32AC9" w:rsidRPr="00394C86">
        <w:rPr>
          <w:color w:val="3C3C3C" w:themeColor="background2" w:themeShade="40"/>
          <w:lang w:val="en-AU"/>
        </w:rPr>
        <w:t>A</w:t>
      </w:r>
      <w:r w:rsidRPr="00394C86">
        <w:rPr>
          <w:color w:val="3C3C3C" w:themeColor="background2" w:themeShade="40"/>
          <w:lang w:val="en-AU"/>
        </w:rPr>
        <w:t xml:space="preserve">n individual communications plan will be prepared </w:t>
      </w:r>
      <w:r w:rsidR="00C32AC9" w:rsidRPr="00394C86">
        <w:rPr>
          <w:color w:val="3C3C3C" w:themeColor="background2" w:themeShade="40"/>
          <w:lang w:val="en-AU"/>
        </w:rPr>
        <w:t xml:space="preserve">for each story </w:t>
      </w:r>
      <w:r w:rsidRPr="00394C86">
        <w:rPr>
          <w:color w:val="3C3C3C" w:themeColor="background2" w:themeShade="40"/>
          <w:lang w:val="en-AU"/>
        </w:rPr>
        <w:t>with communications outputs (reports, press releases, infographics, video, media site visits with journalists, case studies</w:t>
      </w:r>
      <w:r w:rsidR="00C32AC9" w:rsidRPr="00394C86">
        <w:rPr>
          <w:color w:val="3C3C3C" w:themeColor="background2" w:themeShade="40"/>
          <w:lang w:val="en-AU"/>
        </w:rPr>
        <w:t>,</w:t>
      </w:r>
      <w:r w:rsidRPr="00394C86">
        <w:rPr>
          <w:color w:val="3C3C3C" w:themeColor="background2" w:themeShade="40"/>
          <w:lang w:val="en-AU"/>
        </w:rPr>
        <w:t xml:space="preserve"> etc</w:t>
      </w:r>
      <w:r w:rsidR="00C32AC9" w:rsidRPr="00394C86">
        <w:rPr>
          <w:color w:val="3C3C3C" w:themeColor="background2" w:themeShade="40"/>
          <w:lang w:val="en-AU"/>
        </w:rPr>
        <w:t>.</w:t>
      </w:r>
      <w:r w:rsidRPr="00394C86">
        <w:rPr>
          <w:color w:val="3C3C3C" w:themeColor="background2" w:themeShade="40"/>
          <w:lang w:val="en-AU"/>
        </w:rPr>
        <w:t>), relevant audiences (DFAT, Australian public, in-country public, humanitarian community in Australia and globally, other governments)</w:t>
      </w:r>
      <w:r w:rsidR="00C32AC9" w:rsidRPr="00394C86">
        <w:rPr>
          <w:color w:val="3C3C3C" w:themeColor="background2" w:themeShade="40"/>
          <w:lang w:val="en-AU"/>
        </w:rPr>
        <w:t>,</w:t>
      </w:r>
      <w:r w:rsidRPr="00394C86">
        <w:rPr>
          <w:color w:val="3C3C3C" w:themeColor="background2" w:themeShade="40"/>
          <w:lang w:val="en-AU"/>
        </w:rPr>
        <w:t xml:space="preserve"> and the best placed communications channels to reach these audiences. </w:t>
      </w:r>
      <w:r w:rsidRPr="00394C86">
        <w:rPr>
          <w:color w:val="3C3C3C" w:themeColor="background2" w:themeShade="40"/>
          <w:lang w:val="en-AU"/>
        </w:rPr>
        <w:lastRenderedPageBreak/>
        <w:t xml:space="preserve">The communications plan will form the basis of consultation and approval by DFAT and the relevant AHP NGO before proceeding to production.  </w:t>
      </w:r>
      <w:r w:rsidR="00921E6E">
        <w:rPr>
          <w:color w:val="3C3C3C" w:themeColor="background2" w:themeShade="40"/>
          <w:lang w:val="en-AU"/>
        </w:rPr>
        <w:br/>
      </w:r>
      <w:r w:rsidR="00921E6E">
        <w:rPr>
          <w:color w:val="3C3C3C" w:themeColor="background2" w:themeShade="40"/>
          <w:lang w:val="en-AU"/>
        </w:rPr>
        <w:br/>
      </w:r>
      <w:r w:rsidR="00261D6C" w:rsidRPr="00394C86">
        <w:rPr>
          <w:color w:val="3C3C3C" w:themeColor="background2" w:themeShade="40"/>
          <w:lang w:val="en-AU"/>
        </w:rPr>
        <w:t>The AHP</w:t>
      </w:r>
      <w:r w:rsidR="006F4D7B" w:rsidRPr="00394C86">
        <w:rPr>
          <w:color w:val="3C3C3C" w:themeColor="background2" w:themeShade="40"/>
          <w:lang w:val="en-AU"/>
        </w:rPr>
        <w:t xml:space="preserve"> </w:t>
      </w:r>
      <w:r w:rsidR="00261D6C" w:rsidRPr="00394C86">
        <w:rPr>
          <w:color w:val="3C3C3C" w:themeColor="background2" w:themeShade="40"/>
          <w:lang w:val="en-AU"/>
        </w:rPr>
        <w:t>SU will identify stories likely to be interesting to a broader audience. AHP NGOs will also generate media or communications about their own work under Disaster READY</w:t>
      </w:r>
      <w:r w:rsidR="00E35D78" w:rsidRPr="00394C86">
        <w:rPr>
          <w:color w:val="3C3C3C" w:themeColor="background2" w:themeShade="40"/>
          <w:lang w:val="en-AU"/>
        </w:rPr>
        <w:t xml:space="preserve">. Nevertheless, </w:t>
      </w:r>
      <w:r w:rsidR="00261D6C" w:rsidRPr="00394C86">
        <w:rPr>
          <w:color w:val="3C3C3C" w:themeColor="background2" w:themeShade="40"/>
          <w:lang w:val="en-AU"/>
        </w:rPr>
        <w:t xml:space="preserve">they </w:t>
      </w:r>
      <w:r w:rsidR="00C32AC9" w:rsidRPr="00394C86">
        <w:rPr>
          <w:color w:val="3C3C3C" w:themeColor="background2" w:themeShade="40"/>
          <w:lang w:val="en-AU"/>
        </w:rPr>
        <w:t xml:space="preserve">have been </w:t>
      </w:r>
      <w:r w:rsidR="00261D6C" w:rsidRPr="00394C86">
        <w:rPr>
          <w:color w:val="3C3C3C" w:themeColor="background2" w:themeShade="40"/>
          <w:lang w:val="en-AU"/>
        </w:rPr>
        <w:t>asked to share these ideas with the AHP</w:t>
      </w:r>
      <w:r w:rsidR="006F4D7B" w:rsidRPr="00394C86">
        <w:rPr>
          <w:color w:val="3C3C3C" w:themeColor="background2" w:themeShade="40"/>
          <w:lang w:val="en-AU"/>
        </w:rPr>
        <w:t xml:space="preserve"> </w:t>
      </w:r>
      <w:r w:rsidR="00261D6C" w:rsidRPr="00394C86">
        <w:rPr>
          <w:color w:val="3C3C3C" w:themeColor="background2" w:themeShade="40"/>
          <w:lang w:val="en-AU"/>
        </w:rPr>
        <w:t xml:space="preserve">SU beforehand. As much as possible, the program aims to </w:t>
      </w:r>
      <w:r w:rsidR="00551F78" w:rsidRPr="00394C86">
        <w:rPr>
          <w:color w:val="3C3C3C" w:themeColor="background2" w:themeShade="40"/>
          <w:lang w:val="en-AU"/>
        </w:rPr>
        <w:t>identify the bigger themes and messages</w:t>
      </w:r>
      <w:r w:rsidR="00C32AC9" w:rsidRPr="00394C86">
        <w:rPr>
          <w:color w:val="3C3C3C" w:themeColor="background2" w:themeShade="40"/>
          <w:lang w:val="en-AU"/>
        </w:rPr>
        <w:t xml:space="preserve"> so as to convey </w:t>
      </w:r>
      <w:r w:rsidR="00551F78" w:rsidRPr="00394C86">
        <w:rPr>
          <w:color w:val="3C3C3C" w:themeColor="background2" w:themeShade="40"/>
          <w:lang w:val="en-AU"/>
        </w:rPr>
        <w:t xml:space="preserve">a collective story of change at the country level, rather than focusing on </w:t>
      </w:r>
      <w:r w:rsidR="003A32F6" w:rsidRPr="00394C86">
        <w:rPr>
          <w:color w:val="3C3C3C" w:themeColor="background2" w:themeShade="40"/>
          <w:lang w:val="en-AU"/>
        </w:rPr>
        <w:t xml:space="preserve">particular </w:t>
      </w:r>
      <w:r w:rsidR="00551F78" w:rsidRPr="00394C86">
        <w:rPr>
          <w:color w:val="3C3C3C" w:themeColor="background2" w:themeShade="40"/>
          <w:lang w:val="en-AU"/>
        </w:rPr>
        <w:t>project</w:t>
      </w:r>
      <w:r w:rsidR="003A32F6" w:rsidRPr="00394C86">
        <w:rPr>
          <w:color w:val="3C3C3C" w:themeColor="background2" w:themeShade="40"/>
          <w:lang w:val="en-AU"/>
        </w:rPr>
        <w:t>s</w:t>
      </w:r>
      <w:r w:rsidR="00C35D6B" w:rsidRPr="00394C86">
        <w:rPr>
          <w:color w:val="3C3C3C" w:themeColor="background2" w:themeShade="40"/>
          <w:lang w:val="en-AU"/>
        </w:rPr>
        <w:t xml:space="preserve"> or </w:t>
      </w:r>
      <w:r w:rsidR="003A32F6" w:rsidRPr="00394C86">
        <w:rPr>
          <w:color w:val="3C3C3C" w:themeColor="background2" w:themeShade="40"/>
          <w:lang w:val="en-AU"/>
        </w:rPr>
        <w:t xml:space="preserve">specific </w:t>
      </w:r>
      <w:r w:rsidR="00C35D6B" w:rsidRPr="00394C86">
        <w:rPr>
          <w:color w:val="3C3C3C" w:themeColor="background2" w:themeShade="40"/>
          <w:lang w:val="en-AU"/>
        </w:rPr>
        <w:t>NGO</w:t>
      </w:r>
      <w:r w:rsidR="003A32F6" w:rsidRPr="00394C86">
        <w:rPr>
          <w:color w:val="3C3C3C" w:themeColor="background2" w:themeShade="40"/>
          <w:lang w:val="en-AU"/>
        </w:rPr>
        <w:t>s</w:t>
      </w:r>
      <w:r w:rsidR="00551F78" w:rsidRPr="00394C86">
        <w:rPr>
          <w:color w:val="3C3C3C" w:themeColor="background2" w:themeShade="40"/>
          <w:lang w:val="en-AU"/>
        </w:rPr>
        <w:t>.</w:t>
      </w:r>
      <w:r w:rsidR="00C35D6B" w:rsidRPr="00394C86">
        <w:rPr>
          <w:color w:val="3C3C3C" w:themeColor="background2" w:themeShade="40"/>
          <w:lang w:val="en-AU"/>
        </w:rPr>
        <w:t xml:space="preserve"> Each </w:t>
      </w:r>
      <w:r w:rsidRPr="00394C86">
        <w:rPr>
          <w:color w:val="3C3C3C" w:themeColor="background2" w:themeShade="40"/>
          <w:lang w:val="en-AU"/>
        </w:rPr>
        <w:t xml:space="preserve">NGO </w:t>
      </w:r>
      <w:r w:rsidR="00FB33AB" w:rsidRPr="00394C86">
        <w:rPr>
          <w:color w:val="3C3C3C" w:themeColor="background2" w:themeShade="40"/>
          <w:lang w:val="en-AU"/>
        </w:rPr>
        <w:t xml:space="preserve">activity plan </w:t>
      </w:r>
      <w:r w:rsidRPr="00394C86">
        <w:rPr>
          <w:color w:val="3C3C3C" w:themeColor="background2" w:themeShade="40"/>
          <w:lang w:val="en-AU"/>
        </w:rPr>
        <w:t>identif</w:t>
      </w:r>
      <w:r w:rsidR="00C35D6B" w:rsidRPr="00394C86">
        <w:rPr>
          <w:color w:val="3C3C3C" w:themeColor="background2" w:themeShade="40"/>
          <w:lang w:val="en-AU"/>
        </w:rPr>
        <w:t>ies</w:t>
      </w:r>
      <w:r w:rsidRPr="00394C86">
        <w:rPr>
          <w:color w:val="3C3C3C" w:themeColor="background2" w:themeShade="40"/>
          <w:lang w:val="en-AU"/>
        </w:rPr>
        <w:t xml:space="preserve"> opportunities for communications related to </w:t>
      </w:r>
      <w:r w:rsidR="003A32F6" w:rsidRPr="00394C86">
        <w:rPr>
          <w:color w:val="3C3C3C" w:themeColor="background2" w:themeShade="40"/>
          <w:lang w:val="en-AU"/>
        </w:rPr>
        <w:t>M&amp;E</w:t>
      </w:r>
      <w:r w:rsidR="00657E60" w:rsidRPr="00394C86">
        <w:rPr>
          <w:color w:val="3C3C3C" w:themeColor="background2" w:themeShade="40"/>
          <w:lang w:val="en-AU"/>
        </w:rPr>
        <w:t xml:space="preserve"> of activities.</w:t>
      </w:r>
      <w:r w:rsidR="00921E6E">
        <w:rPr>
          <w:color w:val="3C3C3C" w:themeColor="background2" w:themeShade="40"/>
          <w:lang w:val="en-AU"/>
        </w:rPr>
        <w:br/>
      </w:r>
    </w:p>
    <w:p w14:paraId="1B7FE221" w14:textId="17A20367" w:rsidR="008B2140" w:rsidRPr="00394C86" w:rsidRDefault="008B2140" w:rsidP="00110706">
      <w:pPr>
        <w:pStyle w:val="Heading1"/>
        <w:rPr>
          <w:rFonts w:ascii="Calibri" w:hAnsi="Calibri" w:cs="Calibri"/>
          <w:lang w:val="en-AU"/>
        </w:rPr>
      </w:pPr>
      <w:bookmarkStart w:id="54" w:name="_Toc501451686"/>
      <w:r w:rsidRPr="00394C86">
        <w:rPr>
          <w:rFonts w:ascii="Calibri" w:hAnsi="Calibri" w:cs="Calibri"/>
          <w:lang w:val="en-AU"/>
        </w:rPr>
        <w:t>Sustainability</w:t>
      </w:r>
      <w:bookmarkEnd w:id="54"/>
    </w:p>
    <w:p w14:paraId="05D34146" w14:textId="77777777" w:rsidR="00B630A7" w:rsidRPr="00394C86" w:rsidRDefault="00B630A7" w:rsidP="00B630A7">
      <w:pPr>
        <w:rPr>
          <w:color w:val="3C3C3C" w:themeColor="background2" w:themeShade="40"/>
          <w:lang w:val="en-AU"/>
        </w:rPr>
      </w:pPr>
      <w:r w:rsidRPr="00394C86">
        <w:rPr>
          <w:color w:val="3C3C3C" w:themeColor="background2" w:themeShade="40"/>
          <w:lang w:val="en-AU"/>
        </w:rPr>
        <w:t xml:space="preserve">Disaster READY includes several approaches to ensure that the benefits of the program will last. </w:t>
      </w:r>
    </w:p>
    <w:p w14:paraId="147BDDDE" w14:textId="6B42D469" w:rsidR="00B630A7" w:rsidRPr="00394C86" w:rsidRDefault="00B630A7" w:rsidP="00B630A7">
      <w:pPr>
        <w:pStyle w:val="ListParagraph"/>
        <w:numPr>
          <w:ilvl w:val="0"/>
          <w:numId w:val="2"/>
        </w:numPr>
        <w:rPr>
          <w:color w:val="3C3C3C" w:themeColor="background2" w:themeShade="40"/>
        </w:rPr>
      </w:pPr>
      <w:r w:rsidRPr="00394C86">
        <w:rPr>
          <w:b/>
          <w:color w:val="3C3C3C" w:themeColor="background2" w:themeShade="40"/>
        </w:rPr>
        <w:t>Localisation</w:t>
      </w:r>
      <w:r w:rsidRPr="00394C86">
        <w:rPr>
          <w:color w:val="3C3C3C" w:themeColor="background2" w:themeShade="40"/>
        </w:rPr>
        <w:t xml:space="preserve">: Disaster READY is a key </w:t>
      </w:r>
      <w:r w:rsidR="00CF7895" w:rsidRPr="00394C86">
        <w:rPr>
          <w:color w:val="3C3C3C" w:themeColor="background2" w:themeShade="40"/>
        </w:rPr>
        <w:t>tool for achieving</w:t>
      </w:r>
      <w:r w:rsidRPr="00394C86">
        <w:rPr>
          <w:color w:val="3C3C3C" w:themeColor="background2" w:themeShade="40"/>
        </w:rPr>
        <w:t xml:space="preserve"> Australia’s commitment to localisation in humanitarian action in the Pacific and Timor</w:t>
      </w:r>
      <w:r w:rsidR="00E223BC" w:rsidRPr="00394C86">
        <w:rPr>
          <w:color w:val="3C3C3C" w:themeColor="background2" w:themeShade="40"/>
        </w:rPr>
        <w:t>-</w:t>
      </w:r>
      <w:r w:rsidRPr="00394C86">
        <w:rPr>
          <w:color w:val="3C3C3C" w:themeColor="background2" w:themeShade="40"/>
        </w:rPr>
        <w:t xml:space="preserve">Leste. </w:t>
      </w:r>
      <w:r w:rsidR="00CF7895" w:rsidRPr="00394C86">
        <w:rPr>
          <w:color w:val="3C3C3C" w:themeColor="background2" w:themeShade="40"/>
        </w:rPr>
        <w:t xml:space="preserve">The definition of localisation in the Pacific emphasises the independence of leadership and </w:t>
      </w:r>
      <w:r w:rsidR="00964F8D" w:rsidRPr="00394C86">
        <w:rPr>
          <w:color w:val="3C3C3C" w:themeColor="background2" w:themeShade="40"/>
        </w:rPr>
        <w:t>decision-making</w:t>
      </w:r>
      <w:r w:rsidR="00CF7895" w:rsidRPr="00394C86">
        <w:rPr>
          <w:color w:val="3C3C3C" w:themeColor="background2" w:themeShade="40"/>
        </w:rPr>
        <w:t xml:space="preserve"> by national actors in humanitarian action</w:t>
      </w:r>
      <w:r w:rsidRPr="00394C86">
        <w:rPr>
          <w:rStyle w:val="FootnoteReference"/>
          <w:color w:val="3C3C3C" w:themeColor="background2" w:themeShade="40"/>
        </w:rPr>
        <w:footnoteReference w:id="55"/>
      </w:r>
      <w:r w:rsidRPr="00394C86">
        <w:rPr>
          <w:color w:val="3C3C3C" w:themeColor="background2" w:themeShade="40"/>
        </w:rPr>
        <w:t xml:space="preserve">. AHP NGOs will support national NGOs and </w:t>
      </w:r>
      <w:r w:rsidR="00D61ACB" w:rsidRPr="00394C86">
        <w:rPr>
          <w:color w:val="3C3C3C" w:themeColor="background2" w:themeShade="40"/>
        </w:rPr>
        <w:t>faith-based</w:t>
      </w:r>
      <w:r w:rsidR="00B35B97" w:rsidRPr="00394C86">
        <w:rPr>
          <w:color w:val="3C3C3C" w:themeColor="background2" w:themeShade="40"/>
        </w:rPr>
        <w:t xml:space="preserve"> organisations</w:t>
      </w:r>
      <w:r w:rsidRPr="00394C86">
        <w:rPr>
          <w:color w:val="3C3C3C" w:themeColor="background2" w:themeShade="40"/>
        </w:rPr>
        <w:t xml:space="preserve">, and in particular women, </w:t>
      </w:r>
      <w:r w:rsidR="001A17F9" w:rsidRPr="00394C86">
        <w:rPr>
          <w:color w:val="3C3C3C" w:themeColor="background2" w:themeShade="40"/>
        </w:rPr>
        <w:t>people with disabilities</w:t>
      </w:r>
      <w:r w:rsidRPr="00394C86">
        <w:rPr>
          <w:color w:val="3C3C3C" w:themeColor="background2" w:themeShade="40"/>
        </w:rPr>
        <w:t xml:space="preserve"> and youth, to increase their representation, confidence and influence in humanitarian coordination mechanisms at national and </w:t>
      </w:r>
      <w:r w:rsidR="007406D3" w:rsidRPr="00394C86">
        <w:rPr>
          <w:color w:val="3C3C3C" w:themeColor="background2" w:themeShade="40"/>
        </w:rPr>
        <w:t>sub-national</w:t>
      </w:r>
      <w:r w:rsidRPr="00394C86">
        <w:rPr>
          <w:color w:val="3C3C3C" w:themeColor="background2" w:themeShade="40"/>
        </w:rPr>
        <w:t xml:space="preserve"> levels. The program builds the capacity of existing community governance and leadership structures (such as churches) which will continue after Disaster READY is finished. Capacity support to national NGOs and </w:t>
      </w:r>
      <w:r w:rsidR="00D61ACB" w:rsidRPr="00394C86">
        <w:rPr>
          <w:color w:val="3C3C3C" w:themeColor="background2" w:themeShade="40"/>
        </w:rPr>
        <w:t>faith-based</w:t>
      </w:r>
      <w:r w:rsidR="00B35B97" w:rsidRPr="00394C86">
        <w:rPr>
          <w:color w:val="3C3C3C" w:themeColor="background2" w:themeShade="40"/>
        </w:rPr>
        <w:t xml:space="preserve"> organisations </w:t>
      </w:r>
      <w:r w:rsidRPr="00394C86">
        <w:rPr>
          <w:color w:val="3C3C3C" w:themeColor="background2" w:themeShade="40"/>
        </w:rPr>
        <w:t xml:space="preserve">will enable these organisations to independently deliver disaster response to communities in coordination with government and international organisations. The program’s M&amp;E system will track any increase in the influence of national offices of INGOs, </w:t>
      </w:r>
      <w:r w:rsidR="00F0476E" w:rsidRPr="00394C86">
        <w:rPr>
          <w:color w:val="3C3C3C" w:themeColor="background2" w:themeShade="40"/>
        </w:rPr>
        <w:t xml:space="preserve">local NGOs and </w:t>
      </w:r>
      <w:r w:rsidR="00D61ACB" w:rsidRPr="00394C86">
        <w:rPr>
          <w:color w:val="3C3C3C" w:themeColor="background2" w:themeShade="40"/>
        </w:rPr>
        <w:t>faith-based</w:t>
      </w:r>
      <w:r w:rsidR="00B35B97" w:rsidRPr="00394C86">
        <w:rPr>
          <w:color w:val="3C3C3C" w:themeColor="background2" w:themeShade="40"/>
        </w:rPr>
        <w:t xml:space="preserve"> organisations</w:t>
      </w:r>
      <w:r w:rsidRPr="00394C86">
        <w:rPr>
          <w:color w:val="3C3C3C" w:themeColor="background2" w:themeShade="40"/>
        </w:rPr>
        <w:t>, and women, people with disabilities and youth in humanitarian preparedness.</w:t>
      </w:r>
      <w:r w:rsidRPr="00394C86">
        <w:rPr>
          <w:color w:val="3C3C3C" w:themeColor="background2" w:themeShade="40"/>
        </w:rPr>
        <w:br/>
      </w:r>
    </w:p>
    <w:p w14:paraId="6EFB5367" w14:textId="207F6E71" w:rsidR="00B630A7" w:rsidRPr="00394C86" w:rsidRDefault="00B630A7" w:rsidP="00B630A7">
      <w:pPr>
        <w:pStyle w:val="ListParagraph"/>
        <w:numPr>
          <w:ilvl w:val="0"/>
          <w:numId w:val="2"/>
        </w:numPr>
        <w:rPr>
          <w:color w:val="3C3C3C" w:themeColor="background2" w:themeShade="40"/>
        </w:rPr>
      </w:pPr>
      <w:r w:rsidRPr="00394C86">
        <w:rPr>
          <w:b/>
          <w:color w:val="3C3C3C" w:themeColor="background2" w:themeShade="40"/>
        </w:rPr>
        <w:t xml:space="preserve">Supporting government: </w:t>
      </w:r>
      <w:r w:rsidRPr="00394C86">
        <w:rPr>
          <w:color w:val="3C3C3C" w:themeColor="background2" w:themeShade="40"/>
        </w:rPr>
        <w:t xml:space="preserve">Disaster READY is strongly connected to government systems for disaster management. Country plans recognise and respond to national disaster policy priorities. AHP NGOs work closely with provincial and national government systems for disaster response and preparedness. This includes building their understanding of social inclusion issues and supporting the development of tools and implementation of practices (such as rapid assessment surveys) that form part of the government disaster system. AHP NGOs will use practice and evidence generated by the program to inform and improve DRR policy which will be sustained beyond the AHP. Disaster READY </w:t>
      </w:r>
      <w:r w:rsidR="009D0B2B" w:rsidRPr="00394C86">
        <w:rPr>
          <w:color w:val="3C3C3C" w:themeColor="background2" w:themeShade="40"/>
        </w:rPr>
        <w:t>Country Committee</w:t>
      </w:r>
      <w:r w:rsidRPr="00394C86">
        <w:rPr>
          <w:color w:val="3C3C3C" w:themeColor="background2" w:themeShade="40"/>
        </w:rPr>
        <w:t>s provide an important platform for AHP NGOs to develop shared messages to influence governments and donors.</w:t>
      </w:r>
      <w:r w:rsidRPr="00394C86">
        <w:rPr>
          <w:color w:val="3C3C3C" w:themeColor="background2" w:themeShade="40"/>
        </w:rPr>
        <w:br/>
      </w:r>
    </w:p>
    <w:p w14:paraId="0D7212FE" w14:textId="1BA2DEA1" w:rsidR="00166764" w:rsidRPr="00B243F3" w:rsidRDefault="00B630A7" w:rsidP="00B243F3">
      <w:pPr>
        <w:pStyle w:val="ListParagraph"/>
        <w:numPr>
          <w:ilvl w:val="0"/>
          <w:numId w:val="2"/>
        </w:numPr>
        <w:rPr>
          <w:color w:val="3C3C3C" w:themeColor="background2" w:themeShade="40"/>
        </w:rPr>
      </w:pPr>
      <w:r w:rsidRPr="00A048D6">
        <w:rPr>
          <w:b/>
          <w:color w:val="3C3C3C" w:themeColor="background2" w:themeShade="40"/>
        </w:rPr>
        <w:t xml:space="preserve">Accurate risk assessment:  </w:t>
      </w:r>
      <w:r w:rsidR="00FE36B2" w:rsidRPr="00A048D6">
        <w:rPr>
          <w:color w:val="3C3C3C" w:themeColor="background2" w:themeShade="40"/>
        </w:rPr>
        <w:t>Community-based</w:t>
      </w:r>
      <w:r w:rsidRPr="00A048D6">
        <w:rPr>
          <w:color w:val="3C3C3C" w:themeColor="background2" w:themeShade="40"/>
        </w:rPr>
        <w:t xml:space="preserve"> disaster risk management (CBDRM) starts with an assessment of risks – both disaster and climate change</w:t>
      </w:r>
      <w:r w:rsidR="0068535D" w:rsidRPr="00A048D6">
        <w:rPr>
          <w:color w:val="3C3C3C" w:themeColor="background2" w:themeShade="40"/>
        </w:rPr>
        <w:t>-</w:t>
      </w:r>
      <w:r w:rsidRPr="00A048D6">
        <w:rPr>
          <w:color w:val="3C3C3C" w:themeColor="background2" w:themeShade="40"/>
        </w:rPr>
        <w:t xml:space="preserve">related risks. NGOs are working with government to develop standard approaches to CBDRM in each country which incorporate </w:t>
      </w:r>
      <w:r w:rsidRPr="00A048D6">
        <w:rPr>
          <w:color w:val="3C3C3C" w:themeColor="background2" w:themeShade="40"/>
        </w:rPr>
        <w:lastRenderedPageBreak/>
        <w:t xml:space="preserve">disaster and climate risks. The intention is that NGO </w:t>
      </w:r>
      <w:r w:rsidR="00FB33AB" w:rsidRPr="00A048D6">
        <w:rPr>
          <w:color w:val="3C3C3C" w:themeColor="background2" w:themeShade="40"/>
        </w:rPr>
        <w:t xml:space="preserve">activity plans </w:t>
      </w:r>
      <w:r w:rsidRPr="00A048D6">
        <w:rPr>
          <w:color w:val="3C3C3C" w:themeColor="background2" w:themeShade="40"/>
        </w:rPr>
        <w:t>will be reviewed by climate specialists to assess incorporation of disaster and climate risks</w:t>
      </w:r>
      <w:r w:rsidR="00B11638" w:rsidRPr="00A048D6">
        <w:rPr>
          <w:color w:val="3C3C3C" w:themeColor="background2" w:themeShade="40"/>
        </w:rPr>
        <w:t xml:space="preserve">. </w:t>
      </w:r>
      <w:r w:rsidRPr="00A048D6">
        <w:rPr>
          <w:color w:val="3C3C3C" w:themeColor="background2" w:themeShade="40"/>
        </w:rPr>
        <w:t xml:space="preserve"> </w:t>
      </w:r>
      <w:r w:rsidR="00B11638" w:rsidRPr="00A048D6">
        <w:rPr>
          <w:color w:val="3C3C3C" w:themeColor="background2" w:themeShade="40"/>
        </w:rPr>
        <w:t>During implementation</w:t>
      </w:r>
      <w:r w:rsidR="00A45169" w:rsidRPr="00A048D6">
        <w:rPr>
          <w:color w:val="3C3C3C" w:themeColor="background2" w:themeShade="40"/>
        </w:rPr>
        <w:t>,</w:t>
      </w:r>
      <w:r w:rsidR="00B11638" w:rsidRPr="00A048D6">
        <w:rPr>
          <w:color w:val="3C3C3C" w:themeColor="background2" w:themeShade="40"/>
        </w:rPr>
        <w:t xml:space="preserve"> Disaster READY will</w:t>
      </w:r>
      <w:r w:rsidRPr="00A048D6">
        <w:rPr>
          <w:color w:val="3C3C3C" w:themeColor="background2" w:themeShade="40"/>
        </w:rPr>
        <w:t xml:space="preserve"> </w:t>
      </w:r>
      <w:r w:rsidR="00B11638" w:rsidRPr="00A048D6">
        <w:rPr>
          <w:color w:val="3C3C3C" w:themeColor="background2" w:themeShade="40"/>
        </w:rPr>
        <w:t>link with regional programs addressing climate change to ensure programming is informed by the latest data available</w:t>
      </w:r>
      <w:r w:rsidRPr="00A048D6">
        <w:rPr>
          <w:color w:val="3C3C3C" w:themeColor="background2" w:themeShade="40"/>
        </w:rPr>
        <w:t xml:space="preserve">. </w:t>
      </w:r>
      <w:r w:rsidR="00166764" w:rsidRPr="00A048D6">
        <w:rPr>
          <w:color w:val="3C3C3C" w:themeColor="background2" w:themeShade="40"/>
        </w:rPr>
        <w:t xml:space="preserve"> The upcoming </w:t>
      </w:r>
      <w:r w:rsidR="00166764" w:rsidRPr="00B243F3">
        <w:rPr>
          <w:color w:val="3C3C3C" w:themeColor="background2" w:themeShade="40"/>
        </w:rPr>
        <w:t>Australia</w:t>
      </w:r>
      <w:r w:rsidR="00A45169" w:rsidRPr="00A048D6">
        <w:rPr>
          <w:color w:val="3C3C3C" w:themeColor="background2" w:themeShade="40"/>
        </w:rPr>
        <w:t xml:space="preserve"> </w:t>
      </w:r>
      <w:r w:rsidR="00166764" w:rsidRPr="00B243F3">
        <w:rPr>
          <w:color w:val="3C3C3C" w:themeColor="background2" w:themeShade="40"/>
        </w:rPr>
        <w:t>Pacific Climate Change Action Program will provide at least an annual briefing on the climate science available to inform programming and to identify any opportunities for tailoring of data to relevant time or location scales.</w:t>
      </w:r>
      <w:r w:rsidR="006806AC" w:rsidRPr="00A048D6">
        <w:rPr>
          <w:color w:val="3C3C3C" w:themeColor="background2" w:themeShade="40"/>
        </w:rPr>
        <w:t xml:space="preserve"> The program will also aim to engage with all</w:t>
      </w:r>
      <w:r w:rsidR="003A32F6" w:rsidRPr="00A048D6">
        <w:rPr>
          <w:color w:val="3C3C3C" w:themeColor="background2" w:themeShade="40"/>
        </w:rPr>
        <w:t>-</w:t>
      </w:r>
      <w:r w:rsidR="006806AC" w:rsidRPr="00A048D6">
        <w:rPr>
          <w:color w:val="3C3C3C" w:themeColor="background2" w:themeShade="40"/>
        </w:rPr>
        <w:t>hazard DRR specialists (through DFAT) in the annual planning process.</w:t>
      </w:r>
    </w:p>
    <w:p w14:paraId="3ABB9ABE" w14:textId="6B3249A4" w:rsidR="00B630A7" w:rsidRPr="00394C86" w:rsidRDefault="00B630A7" w:rsidP="00B630A7">
      <w:pPr>
        <w:pStyle w:val="ListParagraph"/>
        <w:numPr>
          <w:ilvl w:val="0"/>
          <w:numId w:val="2"/>
        </w:numPr>
        <w:rPr>
          <w:color w:val="3C3C3C" w:themeColor="background2" w:themeShade="40"/>
        </w:rPr>
      </w:pPr>
      <w:r w:rsidRPr="00394C86">
        <w:rPr>
          <w:color w:val="3C3C3C" w:themeColor="background2" w:themeShade="40"/>
        </w:rPr>
        <w:t xml:space="preserve">The </w:t>
      </w:r>
      <w:r w:rsidR="003A32F6" w:rsidRPr="00394C86">
        <w:rPr>
          <w:color w:val="3C3C3C" w:themeColor="background2" w:themeShade="40"/>
        </w:rPr>
        <w:t>M&amp;E</w:t>
      </w:r>
      <w:r w:rsidRPr="00394C86">
        <w:rPr>
          <w:color w:val="3C3C3C" w:themeColor="background2" w:themeShade="40"/>
        </w:rPr>
        <w:t xml:space="preserve"> system will track the continued understanding of risks (including climate change</w:t>
      </w:r>
      <w:r w:rsidR="00F9228C" w:rsidRPr="00394C86">
        <w:rPr>
          <w:color w:val="3C3C3C" w:themeColor="background2" w:themeShade="40"/>
        </w:rPr>
        <w:t>-</w:t>
      </w:r>
      <w:r w:rsidRPr="00394C86">
        <w:rPr>
          <w:color w:val="3C3C3C" w:themeColor="background2" w:themeShade="40"/>
        </w:rPr>
        <w:t xml:space="preserve">related risks) and use of disaster preparedness practices after </w:t>
      </w:r>
      <w:r w:rsidR="00FE36B2" w:rsidRPr="00394C86">
        <w:rPr>
          <w:color w:val="3C3C3C" w:themeColor="background2" w:themeShade="40"/>
        </w:rPr>
        <w:t>community-based</w:t>
      </w:r>
      <w:r w:rsidRPr="00394C86">
        <w:rPr>
          <w:color w:val="3C3C3C" w:themeColor="background2" w:themeShade="40"/>
        </w:rPr>
        <w:t xml:space="preserve"> planning and training is completed. </w:t>
      </w:r>
      <w:r w:rsidRPr="00394C86">
        <w:rPr>
          <w:color w:val="3C3C3C" w:themeColor="background2" w:themeShade="40"/>
        </w:rPr>
        <w:br/>
      </w:r>
    </w:p>
    <w:p w14:paraId="040C4C70" w14:textId="2BC63A06" w:rsidR="00B12F20" w:rsidRPr="00394C86" w:rsidRDefault="00B630A7" w:rsidP="00110706">
      <w:pPr>
        <w:pStyle w:val="ListParagraph"/>
        <w:numPr>
          <w:ilvl w:val="0"/>
          <w:numId w:val="2"/>
        </w:numPr>
        <w:rPr>
          <w:color w:val="3C3C3C" w:themeColor="background2" w:themeShade="40"/>
        </w:rPr>
      </w:pPr>
      <w:r w:rsidRPr="00394C86">
        <w:rPr>
          <w:b/>
          <w:color w:val="3C3C3C" w:themeColor="background2" w:themeShade="40"/>
        </w:rPr>
        <w:t xml:space="preserve">Sustainability will be tested: </w:t>
      </w:r>
      <w:r w:rsidRPr="00394C86">
        <w:rPr>
          <w:color w:val="3C3C3C" w:themeColor="background2" w:themeShade="40"/>
        </w:rPr>
        <w:t xml:space="preserve">program partners will test </w:t>
      </w:r>
      <w:r w:rsidR="00F9228C" w:rsidRPr="00394C86">
        <w:rPr>
          <w:color w:val="3C3C3C" w:themeColor="background2" w:themeShade="40"/>
        </w:rPr>
        <w:t xml:space="preserve">the </w:t>
      </w:r>
      <w:r w:rsidRPr="00394C86">
        <w:rPr>
          <w:color w:val="3C3C3C" w:themeColor="background2" w:themeShade="40"/>
        </w:rPr>
        <w:t xml:space="preserve">sustainability of </w:t>
      </w:r>
      <w:r w:rsidR="00FE36B2" w:rsidRPr="00394C86">
        <w:rPr>
          <w:color w:val="3C3C3C" w:themeColor="background2" w:themeShade="40"/>
        </w:rPr>
        <w:t>community-based</w:t>
      </w:r>
      <w:r w:rsidRPr="00394C86">
        <w:rPr>
          <w:color w:val="3C3C3C" w:themeColor="background2" w:themeShade="40"/>
        </w:rPr>
        <w:t xml:space="preserve"> disaster response planning and coordination with government through simulations. When disasters do occur</w:t>
      </w:r>
      <w:r w:rsidR="00F9228C" w:rsidRPr="00394C86">
        <w:rPr>
          <w:color w:val="3C3C3C" w:themeColor="background2" w:themeShade="40"/>
        </w:rPr>
        <w:t>,</w:t>
      </w:r>
      <w:r w:rsidRPr="00394C86">
        <w:rPr>
          <w:color w:val="3C3C3C" w:themeColor="background2" w:themeShade="40"/>
        </w:rPr>
        <w:t xml:space="preserve"> AHP (through Disaster READY and activations) will assess how localisation in preparedness translates into action to address the needs of affected populations during a response. </w:t>
      </w:r>
      <w:r w:rsidR="00921E6E">
        <w:rPr>
          <w:color w:val="3C3C3C" w:themeColor="background2" w:themeShade="40"/>
        </w:rPr>
        <w:br/>
      </w:r>
    </w:p>
    <w:p w14:paraId="319AE3A0" w14:textId="0B048514" w:rsidR="008B2140" w:rsidRPr="00394C86" w:rsidRDefault="008B2140" w:rsidP="00110706">
      <w:pPr>
        <w:pStyle w:val="Heading1"/>
        <w:rPr>
          <w:rFonts w:ascii="Calibri" w:hAnsi="Calibri" w:cs="Calibri"/>
          <w:lang w:val="en-AU"/>
        </w:rPr>
      </w:pPr>
      <w:bookmarkStart w:id="55" w:name="_Toc501451687"/>
      <w:r w:rsidRPr="00394C86">
        <w:rPr>
          <w:rFonts w:ascii="Calibri" w:hAnsi="Calibri" w:cs="Calibri"/>
          <w:lang w:val="en-AU"/>
        </w:rPr>
        <w:t>Gender Equality</w:t>
      </w:r>
      <w:bookmarkEnd w:id="55"/>
    </w:p>
    <w:p w14:paraId="48A13FBA" w14:textId="0CE6E8F4" w:rsidR="00745F9F" w:rsidRPr="00394C86" w:rsidRDefault="00745F9F" w:rsidP="00DC1E54">
      <w:pPr>
        <w:pStyle w:val="Heading3"/>
        <w:pBdr>
          <w:top w:val="single" w:sz="6" w:space="0" w:color="099BDD" w:themeColor="text2"/>
        </w:pBdr>
        <w:rPr>
          <w:rFonts w:ascii="Calibri" w:hAnsi="Calibri" w:cs="Calibri"/>
          <w:lang w:val="en-AU"/>
        </w:rPr>
      </w:pPr>
      <w:bookmarkStart w:id="56" w:name="_Toc501451688"/>
      <w:r w:rsidRPr="00394C86">
        <w:rPr>
          <w:rFonts w:ascii="Calibri" w:hAnsi="Calibri" w:cs="Calibri"/>
          <w:lang w:val="en-AU"/>
        </w:rPr>
        <w:t>Background gender analysis</w:t>
      </w:r>
      <w:bookmarkEnd w:id="56"/>
    </w:p>
    <w:p w14:paraId="74D9C3DB" w14:textId="5F731246" w:rsidR="00E66207" w:rsidRPr="00394C86" w:rsidRDefault="00EF73D9" w:rsidP="00110706">
      <w:pPr>
        <w:rPr>
          <w:color w:val="3C3C3C" w:themeColor="background2" w:themeShade="40"/>
          <w:lang w:val="en-AU"/>
        </w:rPr>
      </w:pPr>
      <w:r w:rsidRPr="00394C86">
        <w:rPr>
          <w:color w:val="3C3C3C" w:themeColor="background2" w:themeShade="40"/>
          <w:lang w:val="en-AU"/>
        </w:rPr>
        <w:t xml:space="preserve">Despite action and commitment </w:t>
      </w:r>
      <w:r w:rsidR="00FF0282" w:rsidRPr="00394C86">
        <w:rPr>
          <w:color w:val="3C3C3C" w:themeColor="background2" w:themeShade="40"/>
          <w:lang w:val="en-AU"/>
        </w:rPr>
        <w:t>by government and civil society</w:t>
      </w:r>
      <w:r w:rsidR="00F9228C" w:rsidRPr="00394C86">
        <w:rPr>
          <w:color w:val="3C3C3C" w:themeColor="background2" w:themeShade="40"/>
          <w:lang w:val="en-AU"/>
        </w:rPr>
        <w:t>,</w:t>
      </w:r>
      <w:r w:rsidRPr="00394C86">
        <w:rPr>
          <w:color w:val="3C3C3C" w:themeColor="background2" w:themeShade="40"/>
          <w:lang w:val="en-AU"/>
        </w:rPr>
        <w:t xml:space="preserve"> there is slow progress towards achieving gender equality in the Pacific</w:t>
      </w:r>
      <w:r w:rsidR="008F2EE1" w:rsidRPr="00394C86">
        <w:rPr>
          <w:color w:val="3C3C3C" w:themeColor="background2" w:themeShade="40"/>
          <w:lang w:val="en-AU"/>
        </w:rPr>
        <w:t xml:space="preserve"> and Timor</w:t>
      </w:r>
      <w:r w:rsidR="00E223BC" w:rsidRPr="00394C86">
        <w:rPr>
          <w:color w:val="3C3C3C" w:themeColor="background2" w:themeShade="40"/>
          <w:lang w:val="en-AU"/>
        </w:rPr>
        <w:t>-</w:t>
      </w:r>
      <w:r w:rsidR="008F2EE1" w:rsidRPr="00394C86">
        <w:rPr>
          <w:color w:val="3C3C3C" w:themeColor="background2" w:themeShade="40"/>
          <w:lang w:val="en-AU"/>
        </w:rPr>
        <w:t>Leste</w:t>
      </w:r>
      <w:r w:rsidRPr="00394C86">
        <w:rPr>
          <w:color w:val="3C3C3C" w:themeColor="background2" w:themeShade="40"/>
          <w:lang w:val="en-AU"/>
        </w:rPr>
        <w:t>. Gender inequality remains pervasive</w:t>
      </w:r>
      <w:r w:rsidR="00DC71FC" w:rsidRPr="00394C86">
        <w:rPr>
          <w:color w:val="3C3C3C" w:themeColor="background2" w:themeShade="40"/>
          <w:lang w:val="en-AU"/>
        </w:rPr>
        <w:t xml:space="preserve"> across the Pacific</w:t>
      </w:r>
      <w:r w:rsidR="008F2EE1" w:rsidRPr="00394C86">
        <w:rPr>
          <w:color w:val="3C3C3C" w:themeColor="background2" w:themeShade="40"/>
          <w:lang w:val="en-AU"/>
        </w:rPr>
        <w:t xml:space="preserve">, </w:t>
      </w:r>
      <w:r w:rsidR="00DC71FC" w:rsidRPr="00394C86">
        <w:rPr>
          <w:color w:val="3C3C3C" w:themeColor="background2" w:themeShade="40"/>
          <w:lang w:val="en-AU"/>
        </w:rPr>
        <w:t xml:space="preserve">in </w:t>
      </w:r>
      <w:r w:rsidRPr="00394C86">
        <w:rPr>
          <w:color w:val="3C3C3C" w:themeColor="background2" w:themeShade="40"/>
          <w:lang w:val="en-AU"/>
        </w:rPr>
        <w:t>particula</w:t>
      </w:r>
      <w:r w:rsidR="00DC71FC" w:rsidRPr="00394C86">
        <w:rPr>
          <w:color w:val="3C3C3C" w:themeColor="background2" w:themeShade="40"/>
          <w:lang w:val="en-AU"/>
        </w:rPr>
        <w:t>r</w:t>
      </w:r>
      <w:r w:rsidRPr="00394C86">
        <w:rPr>
          <w:color w:val="3C3C3C" w:themeColor="background2" w:themeShade="40"/>
          <w:lang w:val="en-AU"/>
        </w:rPr>
        <w:t xml:space="preserve"> </w:t>
      </w:r>
      <w:r w:rsidR="00B639A9" w:rsidRPr="00394C86">
        <w:rPr>
          <w:color w:val="3C3C3C" w:themeColor="background2" w:themeShade="40"/>
          <w:lang w:val="en-AU"/>
        </w:rPr>
        <w:t xml:space="preserve">in </w:t>
      </w:r>
      <w:r w:rsidRPr="00394C86">
        <w:rPr>
          <w:color w:val="3C3C3C" w:themeColor="background2" w:themeShade="40"/>
          <w:lang w:val="en-AU"/>
        </w:rPr>
        <w:t xml:space="preserve">the critical domains of leadership and </w:t>
      </w:r>
      <w:r w:rsidR="00964F8D" w:rsidRPr="00394C86">
        <w:rPr>
          <w:color w:val="3C3C3C" w:themeColor="background2" w:themeShade="40"/>
          <w:lang w:val="en-AU"/>
        </w:rPr>
        <w:t>decision-making</w:t>
      </w:r>
      <w:r w:rsidRPr="00394C86">
        <w:rPr>
          <w:color w:val="3C3C3C" w:themeColor="background2" w:themeShade="40"/>
          <w:lang w:val="en-AU"/>
        </w:rPr>
        <w:t>, access to and control of resources</w:t>
      </w:r>
      <w:r w:rsidR="00F9228C" w:rsidRPr="00394C86">
        <w:rPr>
          <w:color w:val="3C3C3C" w:themeColor="background2" w:themeShade="40"/>
          <w:lang w:val="en-AU"/>
        </w:rPr>
        <w:t>,</w:t>
      </w:r>
      <w:r w:rsidRPr="00394C86">
        <w:rPr>
          <w:color w:val="3C3C3C" w:themeColor="background2" w:themeShade="40"/>
          <w:lang w:val="en-AU"/>
        </w:rPr>
        <w:t xml:space="preserve"> and gender</w:t>
      </w:r>
      <w:r w:rsidR="00F9228C" w:rsidRPr="00394C86">
        <w:rPr>
          <w:color w:val="3C3C3C" w:themeColor="background2" w:themeShade="40"/>
          <w:lang w:val="en-AU"/>
        </w:rPr>
        <w:t>-</w:t>
      </w:r>
      <w:r w:rsidRPr="00394C86">
        <w:rPr>
          <w:color w:val="3C3C3C" w:themeColor="background2" w:themeShade="40"/>
          <w:lang w:val="en-AU"/>
        </w:rPr>
        <w:t>based violence</w:t>
      </w:r>
      <w:r w:rsidRPr="00394C86">
        <w:rPr>
          <w:rStyle w:val="FootnoteReference"/>
          <w:color w:val="3C3C3C" w:themeColor="background2" w:themeShade="40"/>
          <w:lang w:val="en-AU"/>
        </w:rPr>
        <w:footnoteReference w:id="56"/>
      </w:r>
      <w:r w:rsidRPr="00394C86">
        <w:rPr>
          <w:color w:val="3C3C3C" w:themeColor="background2" w:themeShade="40"/>
          <w:lang w:val="en-AU"/>
        </w:rPr>
        <w:t xml:space="preserve">. </w:t>
      </w:r>
      <w:r w:rsidR="00921E6E">
        <w:rPr>
          <w:color w:val="3C3C3C" w:themeColor="background2" w:themeShade="40"/>
          <w:lang w:val="en-AU"/>
        </w:rPr>
        <w:br/>
      </w:r>
      <w:r w:rsidR="00921E6E">
        <w:rPr>
          <w:color w:val="3C3C3C" w:themeColor="background2" w:themeShade="40"/>
          <w:lang w:val="en-AU"/>
        </w:rPr>
        <w:br/>
      </w:r>
      <w:r w:rsidR="00E66207" w:rsidRPr="00394C86">
        <w:rPr>
          <w:color w:val="3C3C3C" w:themeColor="background2" w:themeShade="40"/>
          <w:lang w:val="en-AU"/>
        </w:rPr>
        <w:t>Disaster impacts are not gender neutral. In the Pacific, women are more likely to be killed by disasters compared to men and are more susceptible to sexual and gender</w:t>
      </w:r>
      <w:r w:rsidR="00F9228C" w:rsidRPr="00394C86">
        <w:rPr>
          <w:color w:val="3C3C3C" w:themeColor="background2" w:themeShade="40"/>
          <w:lang w:val="en-AU"/>
        </w:rPr>
        <w:t>-</w:t>
      </w:r>
      <w:r w:rsidR="00E66207" w:rsidRPr="00394C86">
        <w:rPr>
          <w:color w:val="3C3C3C" w:themeColor="background2" w:themeShade="40"/>
          <w:lang w:val="en-AU"/>
        </w:rPr>
        <w:t>based violence. The physical burden on women and girls increases disproportionately after a disaster as they spend more time looking for clean water, firewood and food</w:t>
      </w:r>
      <w:r w:rsidR="00F9228C" w:rsidRPr="00394C86">
        <w:rPr>
          <w:color w:val="3C3C3C" w:themeColor="background2" w:themeShade="40"/>
          <w:lang w:val="en-AU"/>
        </w:rPr>
        <w:t>,</w:t>
      </w:r>
      <w:r w:rsidR="00E66207" w:rsidRPr="00394C86">
        <w:rPr>
          <w:color w:val="3C3C3C" w:themeColor="background2" w:themeShade="40"/>
          <w:lang w:val="en-AU"/>
        </w:rPr>
        <w:t xml:space="preserve"> as well as keeping the family safe and healthy. Their usual protection mechanisms can be affected as their home and community are disrupted</w:t>
      </w:r>
      <w:r w:rsidR="00295E7A" w:rsidRPr="00394C86">
        <w:rPr>
          <w:color w:val="3C3C3C" w:themeColor="background2" w:themeShade="40"/>
          <w:lang w:val="en-AU"/>
        </w:rPr>
        <w:t>.</w:t>
      </w:r>
      <w:r w:rsidR="00E66207" w:rsidRPr="00394C86">
        <w:rPr>
          <w:color w:val="3C3C3C" w:themeColor="background2" w:themeShade="40"/>
          <w:lang w:val="en-AU"/>
        </w:rPr>
        <w:t xml:space="preserve"> </w:t>
      </w:r>
      <w:r w:rsidR="00295E7A" w:rsidRPr="00394C86">
        <w:rPr>
          <w:color w:val="3C3C3C" w:themeColor="background2" w:themeShade="40"/>
          <w:lang w:val="en-AU"/>
        </w:rPr>
        <w:t>T</w:t>
      </w:r>
      <w:r w:rsidR="00E66207" w:rsidRPr="00394C86">
        <w:rPr>
          <w:color w:val="3C3C3C" w:themeColor="background2" w:themeShade="40"/>
          <w:lang w:val="en-AU"/>
        </w:rPr>
        <w:t>he increased burden of work can result in girls missing school and children being left unaccompanied for long periods of time</w:t>
      </w:r>
      <w:r w:rsidR="00295E7A" w:rsidRPr="00394C86">
        <w:rPr>
          <w:color w:val="3C3C3C" w:themeColor="background2" w:themeShade="40"/>
          <w:lang w:val="en-AU"/>
        </w:rPr>
        <w:t xml:space="preserve">, which </w:t>
      </w:r>
      <w:r w:rsidR="00E66207" w:rsidRPr="00394C86">
        <w:rPr>
          <w:color w:val="3C3C3C" w:themeColor="background2" w:themeShade="40"/>
          <w:lang w:val="en-AU"/>
        </w:rPr>
        <w:t>present</w:t>
      </w:r>
      <w:r w:rsidR="00295E7A" w:rsidRPr="00394C86">
        <w:rPr>
          <w:color w:val="3C3C3C" w:themeColor="background2" w:themeShade="40"/>
          <w:lang w:val="en-AU"/>
        </w:rPr>
        <w:t>s</w:t>
      </w:r>
      <w:r w:rsidR="00E66207" w:rsidRPr="00394C86">
        <w:rPr>
          <w:color w:val="3C3C3C" w:themeColor="background2" w:themeShade="40"/>
          <w:lang w:val="en-AU"/>
        </w:rPr>
        <w:t xml:space="preserve"> additional protection risks. </w:t>
      </w:r>
      <w:r w:rsidR="00F9228C" w:rsidRPr="00394C86">
        <w:rPr>
          <w:color w:val="3C3C3C" w:themeColor="background2" w:themeShade="40"/>
          <w:lang w:val="en-AU"/>
        </w:rPr>
        <w:t xml:space="preserve">The </w:t>
      </w:r>
      <w:r w:rsidR="00E66207" w:rsidRPr="00394C86">
        <w:rPr>
          <w:color w:val="3C3C3C" w:themeColor="background2" w:themeShade="40"/>
          <w:lang w:val="en-AU"/>
        </w:rPr>
        <w:t xml:space="preserve">psychosocial burden </w:t>
      </w:r>
      <w:r w:rsidR="00F9228C" w:rsidRPr="00394C86">
        <w:rPr>
          <w:color w:val="3C3C3C" w:themeColor="background2" w:themeShade="40"/>
          <w:lang w:val="en-AU"/>
        </w:rPr>
        <w:t xml:space="preserve">of women </w:t>
      </w:r>
      <w:r w:rsidR="00E66207" w:rsidRPr="00394C86">
        <w:rPr>
          <w:color w:val="3C3C3C" w:themeColor="background2" w:themeShade="40"/>
          <w:lang w:val="en-AU"/>
        </w:rPr>
        <w:t>increases as well. Women and girls living with disability are even more at risk</w:t>
      </w:r>
      <w:r w:rsidR="00295E7A" w:rsidRPr="00394C86">
        <w:rPr>
          <w:color w:val="3C3C3C" w:themeColor="background2" w:themeShade="40"/>
          <w:lang w:val="en-AU"/>
        </w:rPr>
        <w:t xml:space="preserve">: </w:t>
      </w:r>
      <w:r w:rsidR="00E66207" w:rsidRPr="00394C86">
        <w:rPr>
          <w:color w:val="3C3C3C" w:themeColor="background2" w:themeShade="40"/>
          <w:lang w:val="en-AU"/>
        </w:rPr>
        <w:t>their social isolation, exclusion and dependency increase the extent of abuse they are subjected to and limit the actions they can take. Finally, women</w:t>
      </w:r>
      <w:r w:rsidR="00FF0282" w:rsidRPr="00394C86">
        <w:rPr>
          <w:color w:val="3C3C3C" w:themeColor="background2" w:themeShade="40"/>
          <w:lang w:val="en-AU"/>
        </w:rPr>
        <w:t xml:space="preserve"> in the Pacific and </w:t>
      </w:r>
      <w:r w:rsidR="00F3172F" w:rsidRPr="00394C86">
        <w:rPr>
          <w:color w:val="3C3C3C" w:themeColor="background2" w:themeShade="40"/>
          <w:lang w:val="en-AU"/>
        </w:rPr>
        <w:t>Timor-Leste</w:t>
      </w:r>
      <w:r w:rsidR="00E66207" w:rsidRPr="00394C86">
        <w:rPr>
          <w:color w:val="3C3C3C" w:themeColor="background2" w:themeShade="40"/>
          <w:lang w:val="en-AU"/>
        </w:rPr>
        <w:t xml:space="preserve"> are marginalised from leadership and decision</w:t>
      </w:r>
      <w:r w:rsidR="00C36D2F" w:rsidRPr="00394C86">
        <w:rPr>
          <w:color w:val="3C3C3C" w:themeColor="background2" w:themeShade="40"/>
          <w:lang w:val="en-AU"/>
        </w:rPr>
        <w:t>-</w:t>
      </w:r>
      <w:r w:rsidR="00E66207" w:rsidRPr="00394C86">
        <w:rPr>
          <w:color w:val="3C3C3C" w:themeColor="background2" w:themeShade="40"/>
          <w:lang w:val="en-AU"/>
        </w:rPr>
        <w:t>making processes governing their lives</w:t>
      </w:r>
      <w:r w:rsidR="00F9228C" w:rsidRPr="00394C86">
        <w:rPr>
          <w:color w:val="3C3C3C" w:themeColor="background2" w:themeShade="40"/>
          <w:lang w:val="en-AU"/>
        </w:rPr>
        <w:t>,</w:t>
      </w:r>
      <w:r w:rsidR="00E66207" w:rsidRPr="00394C86">
        <w:rPr>
          <w:color w:val="3C3C3C" w:themeColor="background2" w:themeShade="40"/>
          <w:lang w:val="en-AU"/>
        </w:rPr>
        <w:t xml:space="preserve"> </w:t>
      </w:r>
      <w:r w:rsidR="00FF0282" w:rsidRPr="00394C86">
        <w:rPr>
          <w:color w:val="3C3C3C" w:themeColor="background2" w:themeShade="40"/>
          <w:lang w:val="en-AU"/>
        </w:rPr>
        <w:t>including disaster management mechanisms. These mechanisms in turn fail to acknowledge and respond to their needs.</w:t>
      </w:r>
    </w:p>
    <w:p w14:paraId="4578C543" w14:textId="7642E768" w:rsidR="00745F9F" w:rsidRPr="00394C86" w:rsidRDefault="00745F9F" w:rsidP="008F2EE1">
      <w:pPr>
        <w:pStyle w:val="Heading3"/>
        <w:rPr>
          <w:rFonts w:ascii="Calibri" w:hAnsi="Calibri" w:cs="Calibri"/>
          <w:lang w:val="en-AU"/>
        </w:rPr>
      </w:pPr>
      <w:bookmarkStart w:id="57" w:name="_Toc501451689"/>
      <w:r w:rsidRPr="00394C86">
        <w:rPr>
          <w:rFonts w:ascii="Calibri" w:hAnsi="Calibri" w:cs="Calibri"/>
          <w:lang w:val="en-AU"/>
        </w:rPr>
        <w:lastRenderedPageBreak/>
        <w:t>How the program will progress gender equality and the empowerment of women</w:t>
      </w:r>
      <w:bookmarkEnd w:id="57"/>
      <w:r w:rsidRPr="00394C86">
        <w:rPr>
          <w:rFonts w:ascii="Calibri" w:hAnsi="Calibri" w:cs="Calibri"/>
          <w:lang w:val="en-AU"/>
        </w:rPr>
        <w:t xml:space="preserve"> </w:t>
      </w:r>
    </w:p>
    <w:p w14:paraId="476762BC" w14:textId="06F25E82" w:rsidR="0084493A" w:rsidRPr="00394C86" w:rsidRDefault="00E66207" w:rsidP="00110706">
      <w:pPr>
        <w:rPr>
          <w:color w:val="3C3C3C" w:themeColor="background2" w:themeShade="40"/>
          <w:lang w:val="en-AU"/>
        </w:rPr>
      </w:pPr>
      <w:r w:rsidRPr="00394C86">
        <w:rPr>
          <w:color w:val="3C3C3C" w:themeColor="background2" w:themeShade="40"/>
          <w:lang w:val="en-AU"/>
        </w:rPr>
        <w:t xml:space="preserve">Disaster READY is committed to recognising and responding to the differences in how women and men prepare for and are affected by disasters. This can ensure </w:t>
      </w:r>
      <w:r w:rsidR="00F9228C" w:rsidRPr="00394C86">
        <w:rPr>
          <w:color w:val="3C3C3C" w:themeColor="background2" w:themeShade="40"/>
          <w:lang w:val="en-AU"/>
        </w:rPr>
        <w:t xml:space="preserve">that </w:t>
      </w:r>
      <w:r w:rsidRPr="00394C86">
        <w:rPr>
          <w:color w:val="3C3C3C" w:themeColor="background2" w:themeShade="40"/>
          <w:lang w:val="en-AU"/>
        </w:rPr>
        <w:t>the basic rights of women</w:t>
      </w:r>
      <w:r w:rsidR="00FF0282" w:rsidRPr="00394C86">
        <w:rPr>
          <w:color w:val="3C3C3C" w:themeColor="background2" w:themeShade="40"/>
          <w:lang w:val="en-AU"/>
        </w:rPr>
        <w:t xml:space="preserve"> and girls are met a</w:t>
      </w:r>
      <w:r w:rsidR="00F9228C" w:rsidRPr="00394C86">
        <w:rPr>
          <w:color w:val="3C3C3C" w:themeColor="background2" w:themeShade="40"/>
          <w:lang w:val="en-AU"/>
        </w:rPr>
        <w:t xml:space="preserve">s well as </w:t>
      </w:r>
      <w:r w:rsidR="00013349" w:rsidRPr="00394C86">
        <w:rPr>
          <w:color w:val="3C3C3C" w:themeColor="background2" w:themeShade="40"/>
          <w:lang w:val="en-AU"/>
        </w:rPr>
        <w:t xml:space="preserve">help to make </w:t>
      </w:r>
      <w:r w:rsidRPr="00394C86">
        <w:rPr>
          <w:color w:val="3C3C3C" w:themeColor="background2" w:themeShade="40"/>
          <w:lang w:val="en-AU"/>
        </w:rPr>
        <w:t xml:space="preserve">disaster risk reductions more effective. </w:t>
      </w:r>
      <w:r w:rsidR="00FF0282" w:rsidRPr="00394C86">
        <w:rPr>
          <w:color w:val="3C3C3C" w:themeColor="background2" w:themeShade="40"/>
          <w:lang w:val="en-AU"/>
        </w:rPr>
        <w:t>P</w:t>
      </w:r>
      <w:r w:rsidRPr="00394C86">
        <w:rPr>
          <w:color w:val="3C3C3C" w:themeColor="background2" w:themeShade="40"/>
          <w:lang w:val="en-AU"/>
        </w:rPr>
        <w:t>aying close attention to gender differences and promoting women</w:t>
      </w:r>
      <w:r w:rsidR="00295E7A" w:rsidRPr="00394C86">
        <w:rPr>
          <w:color w:val="3C3C3C" w:themeColor="background2" w:themeShade="40"/>
          <w:lang w:val="en-AU"/>
        </w:rPr>
        <w:t>’s</w:t>
      </w:r>
      <w:r w:rsidRPr="00394C86">
        <w:rPr>
          <w:color w:val="3C3C3C" w:themeColor="background2" w:themeShade="40"/>
          <w:lang w:val="en-AU"/>
        </w:rPr>
        <w:t xml:space="preserve"> and girls</w:t>
      </w:r>
      <w:r w:rsidR="00FF0282" w:rsidRPr="00394C86">
        <w:rPr>
          <w:color w:val="3C3C3C" w:themeColor="background2" w:themeShade="40"/>
          <w:lang w:val="en-AU"/>
        </w:rPr>
        <w:t>’</w:t>
      </w:r>
      <w:r w:rsidRPr="00394C86">
        <w:rPr>
          <w:color w:val="3C3C3C" w:themeColor="background2" w:themeShade="40"/>
          <w:lang w:val="en-AU"/>
        </w:rPr>
        <w:t xml:space="preserve"> active engagement and leadership in </w:t>
      </w:r>
      <w:r w:rsidR="0036097B" w:rsidRPr="00394C86">
        <w:rPr>
          <w:color w:val="3C3C3C" w:themeColor="background2" w:themeShade="40"/>
          <w:lang w:val="en-AU"/>
        </w:rPr>
        <w:t xml:space="preserve">disaster preparedness and risk reduction </w:t>
      </w:r>
      <w:r w:rsidRPr="00394C86">
        <w:rPr>
          <w:color w:val="3C3C3C" w:themeColor="background2" w:themeShade="40"/>
          <w:lang w:val="en-AU"/>
        </w:rPr>
        <w:t xml:space="preserve">helps to bring different perspectives, capacities and resources to the task. </w:t>
      </w:r>
      <w:r w:rsidR="00DC71FC" w:rsidRPr="00394C86">
        <w:rPr>
          <w:color w:val="3C3C3C" w:themeColor="background2" w:themeShade="40"/>
          <w:lang w:val="en-AU"/>
        </w:rPr>
        <w:t>The program recognises the additional challenges facing women and girls with disabilities</w:t>
      </w:r>
      <w:r w:rsidR="00F9228C" w:rsidRPr="00394C86">
        <w:rPr>
          <w:color w:val="3C3C3C" w:themeColor="background2" w:themeShade="40"/>
          <w:lang w:val="en-AU"/>
        </w:rPr>
        <w:t>,</w:t>
      </w:r>
      <w:r w:rsidR="00DC71FC" w:rsidRPr="00394C86">
        <w:rPr>
          <w:color w:val="3C3C3C" w:themeColor="background2" w:themeShade="40"/>
          <w:lang w:val="en-AU"/>
        </w:rPr>
        <w:t xml:space="preserve"> including barriers to participation and leadership and risks of physical, sexual and other forms of violence</w:t>
      </w:r>
      <w:r w:rsidR="009234E1" w:rsidRPr="00394C86">
        <w:rPr>
          <w:color w:val="3C3C3C" w:themeColor="background2" w:themeShade="40"/>
          <w:lang w:val="en-AU"/>
        </w:rPr>
        <w:t xml:space="preserve">. </w:t>
      </w:r>
      <w:r w:rsidR="00921E6E">
        <w:rPr>
          <w:color w:val="3C3C3C" w:themeColor="background2" w:themeShade="40"/>
          <w:lang w:val="en-AU"/>
        </w:rPr>
        <w:br/>
      </w:r>
      <w:r w:rsidR="00921E6E">
        <w:rPr>
          <w:color w:val="3C3C3C" w:themeColor="background2" w:themeShade="40"/>
          <w:lang w:val="en-AU"/>
        </w:rPr>
        <w:br/>
      </w:r>
      <w:r w:rsidR="0056712E" w:rsidRPr="00394C86">
        <w:rPr>
          <w:color w:val="3C3C3C" w:themeColor="background2" w:themeShade="40"/>
          <w:lang w:val="en-AU"/>
        </w:rPr>
        <w:t>Program objectives, outcomes and indicators are disaggregated by gender, disability and age</w:t>
      </w:r>
      <w:r w:rsidR="00F9228C" w:rsidRPr="00394C86">
        <w:rPr>
          <w:color w:val="3C3C3C" w:themeColor="background2" w:themeShade="40"/>
          <w:lang w:val="en-AU"/>
        </w:rPr>
        <w:t>.</w:t>
      </w:r>
      <w:r w:rsidR="0056712E" w:rsidRPr="00394C86">
        <w:rPr>
          <w:color w:val="3C3C3C" w:themeColor="background2" w:themeShade="40"/>
          <w:lang w:val="en-AU"/>
        </w:rPr>
        <w:t xml:space="preserve"> NGOs are required to address, at </w:t>
      </w:r>
      <w:r w:rsidR="00F9228C" w:rsidRPr="00394C86">
        <w:rPr>
          <w:color w:val="3C3C3C" w:themeColor="background2" w:themeShade="40"/>
          <w:lang w:val="en-AU"/>
        </w:rPr>
        <w:t>the very least</w:t>
      </w:r>
      <w:r w:rsidR="0056712E" w:rsidRPr="00394C86">
        <w:rPr>
          <w:color w:val="3C3C3C" w:themeColor="background2" w:themeShade="40"/>
          <w:lang w:val="en-AU"/>
        </w:rPr>
        <w:t xml:space="preserve">, </w:t>
      </w:r>
      <w:r w:rsidR="00E4533E" w:rsidRPr="00394C86">
        <w:rPr>
          <w:color w:val="3C3C3C" w:themeColor="background2" w:themeShade="40"/>
          <w:lang w:val="en-AU"/>
        </w:rPr>
        <w:t xml:space="preserve">the </w:t>
      </w:r>
      <w:r w:rsidR="0056712E" w:rsidRPr="00394C86">
        <w:rPr>
          <w:color w:val="3C3C3C" w:themeColor="background2" w:themeShade="40"/>
          <w:lang w:val="en-AU"/>
        </w:rPr>
        <w:t xml:space="preserve">representation of women in disaster committees and </w:t>
      </w:r>
      <w:r w:rsidR="00E4533E" w:rsidRPr="00394C86">
        <w:rPr>
          <w:color w:val="3C3C3C" w:themeColor="background2" w:themeShade="40"/>
          <w:lang w:val="en-AU"/>
        </w:rPr>
        <w:t xml:space="preserve">the </w:t>
      </w:r>
      <w:r w:rsidR="0056712E" w:rsidRPr="00394C86">
        <w:rPr>
          <w:color w:val="3C3C3C" w:themeColor="background2" w:themeShade="40"/>
          <w:lang w:val="en-AU"/>
        </w:rPr>
        <w:t>inclusion of</w:t>
      </w:r>
      <w:r w:rsidR="000D4F69" w:rsidRPr="00394C86">
        <w:rPr>
          <w:color w:val="3C3C3C" w:themeColor="background2" w:themeShade="40"/>
          <w:lang w:val="en-AU"/>
        </w:rPr>
        <w:t xml:space="preserve"> girls</w:t>
      </w:r>
      <w:r w:rsidR="00E4533E" w:rsidRPr="00394C86">
        <w:rPr>
          <w:color w:val="3C3C3C" w:themeColor="background2" w:themeShade="40"/>
          <w:lang w:val="en-AU"/>
        </w:rPr>
        <w:t>’</w:t>
      </w:r>
      <w:r w:rsidR="000D4F69" w:rsidRPr="00394C86">
        <w:rPr>
          <w:color w:val="3C3C3C" w:themeColor="background2" w:themeShade="40"/>
          <w:lang w:val="en-AU"/>
        </w:rPr>
        <w:t xml:space="preserve"> and women’s</w:t>
      </w:r>
      <w:r w:rsidR="0056712E" w:rsidRPr="00394C86">
        <w:rPr>
          <w:color w:val="3C3C3C" w:themeColor="background2" w:themeShade="40"/>
          <w:lang w:val="en-AU"/>
        </w:rPr>
        <w:t xml:space="preserve"> needs in community disaster plans. Country plans and NGO </w:t>
      </w:r>
      <w:r w:rsidR="00451291" w:rsidRPr="00394C86">
        <w:rPr>
          <w:color w:val="3C3C3C" w:themeColor="background2" w:themeShade="40"/>
          <w:lang w:val="en-AU"/>
        </w:rPr>
        <w:t>activity plans</w:t>
      </w:r>
      <w:r w:rsidR="0056712E" w:rsidRPr="00394C86">
        <w:rPr>
          <w:color w:val="3C3C3C" w:themeColor="background2" w:themeShade="40"/>
          <w:lang w:val="en-AU"/>
        </w:rPr>
        <w:t xml:space="preserve"> include country and activity</w:t>
      </w:r>
      <w:r w:rsidR="00E4533E" w:rsidRPr="00394C86">
        <w:rPr>
          <w:color w:val="3C3C3C" w:themeColor="background2" w:themeShade="40"/>
          <w:lang w:val="en-AU"/>
        </w:rPr>
        <w:t>-</w:t>
      </w:r>
      <w:r w:rsidR="0056712E" w:rsidRPr="00394C86">
        <w:rPr>
          <w:color w:val="3C3C3C" w:themeColor="background2" w:themeShade="40"/>
          <w:lang w:val="en-AU"/>
        </w:rPr>
        <w:t xml:space="preserve">specific gender analysis </w:t>
      </w:r>
      <w:r w:rsidR="00E4533E" w:rsidRPr="00394C86">
        <w:rPr>
          <w:color w:val="3C3C3C" w:themeColor="background2" w:themeShade="40"/>
          <w:lang w:val="en-AU"/>
        </w:rPr>
        <w:t>which draws</w:t>
      </w:r>
      <w:r w:rsidR="0004008C" w:rsidRPr="00394C86">
        <w:rPr>
          <w:color w:val="3C3C3C" w:themeColor="background2" w:themeShade="40"/>
          <w:lang w:val="en-AU"/>
        </w:rPr>
        <w:t xml:space="preserve"> on a range of existing sources</w:t>
      </w:r>
      <w:r w:rsidR="00E4533E" w:rsidRPr="00394C86">
        <w:rPr>
          <w:color w:val="3C3C3C" w:themeColor="background2" w:themeShade="40"/>
          <w:lang w:val="en-AU"/>
        </w:rPr>
        <w:t>,</w:t>
      </w:r>
      <w:r w:rsidR="0004008C" w:rsidRPr="00394C86">
        <w:rPr>
          <w:color w:val="3C3C3C" w:themeColor="background2" w:themeShade="40"/>
          <w:lang w:val="en-AU"/>
        </w:rPr>
        <w:t xml:space="preserve"> </w:t>
      </w:r>
      <w:r w:rsidR="00E4533E" w:rsidRPr="00394C86">
        <w:rPr>
          <w:color w:val="3C3C3C" w:themeColor="background2" w:themeShade="40"/>
          <w:lang w:val="en-AU"/>
        </w:rPr>
        <w:t>as well as</w:t>
      </w:r>
      <w:r w:rsidR="0004008C" w:rsidRPr="00394C86">
        <w:rPr>
          <w:color w:val="3C3C3C" w:themeColor="background2" w:themeShade="40"/>
          <w:lang w:val="en-AU"/>
        </w:rPr>
        <w:t xml:space="preserve"> research and programming that responds to country</w:t>
      </w:r>
      <w:r w:rsidR="00E4533E" w:rsidRPr="00394C86">
        <w:rPr>
          <w:color w:val="3C3C3C" w:themeColor="background2" w:themeShade="40"/>
          <w:lang w:val="en-AU"/>
        </w:rPr>
        <w:t>-</w:t>
      </w:r>
      <w:r w:rsidR="0004008C" w:rsidRPr="00394C86">
        <w:rPr>
          <w:color w:val="3C3C3C" w:themeColor="background2" w:themeShade="40"/>
          <w:lang w:val="en-AU"/>
        </w:rPr>
        <w:t xml:space="preserve">based priorities and opportunities for action. </w:t>
      </w:r>
      <w:r w:rsidR="00921E6E">
        <w:rPr>
          <w:color w:val="3C3C3C" w:themeColor="background2" w:themeShade="40"/>
          <w:lang w:val="en-AU"/>
        </w:rPr>
        <w:br/>
      </w:r>
      <w:r w:rsidR="00921E6E">
        <w:rPr>
          <w:color w:val="3C3C3C" w:themeColor="background2" w:themeShade="40"/>
          <w:lang w:val="en-AU"/>
        </w:rPr>
        <w:br/>
      </w:r>
      <w:r w:rsidR="00A94C92" w:rsidRPr="00394C86">
        <w:rPr>
          <w:color w:val="3C3C3C" w:themeColor="background2" w:themeShade="40"/>
          <w:lang w:val="en-AU"/>
        </w:rPr>
        <w:t>Through the design process there was some recognition that LGBTQI people also experience great</w:t>
      </w:r>
      <w:r w:rsidR="00A40B68" w:rsidRPr="00394C86">
        <w:rPr>
          <w:color w:val="3C3C3C" w:themeColor="background2" w:themeShade="40"/>
          <w:lang w:val="en-AU"/>
        </w:rPr>
        <w:t>er harm during disasters. I</w:t>
      </w:r>
      <w:r w:rsidR="00A94C92" w:rsidRPr="00394C86">
        <w:rPr>
          <w:color w:val="3C3C3C" w:themeColor="background2" w:themeShade="40"/>
          <w:lang w:val="en-AU"/>
        </w:rPr>
        <w:t xml:space="preserve">nitial research </w:t>
      </w:r>
      <w:r w:rsidR="00A40B68" w:rsidRPr="00394C86">
        <w:rPr>
          <w:color w:val="3C3C3C" w:themeColor="background2" w:themeShade="40"/>
          <w:lang w:val="en-AU"/>
        </w:rPr>
        <w:t xml:space="preserve">presented at design workshops </w:t>
      </w:r>
      <w:r w:rsidR="00A94C92" w:rsidRPr="00394C86">
        <w:rPr>
          <w:color w:val="3C3C3C" w:themeColor="background2" w:themeShade="40"/>
          <w:lang w:val="en-AU"/>
        </w:rPr>
        <w:t xml:space="preserve">in Fiji </w:t>
      </w:r>
      <w:r w:rsidR="00A40B68" w:rsidRPr="00394C86">
        <w:rPr>
          <w:color w:val="3C3C3C" w:themeColor="background2" w:themeShade="40"/>
          <w:lang w:val="en-AU"/>
        </w:rPr>
        <w:t>demonstrated</w:t>
      </w:r>
      <w:r w:rsidR="00A94C92" w:rsidRPr="00394C86">
        <w:rPr>
          <w:color w:val="3C3C3C" w:themeColor="background2" w:themeShade="40"/>
          <w:lang w:val="en-AU"/>
        </w:rPr>
        <w:t xml:space="preserve"> how transgender people were unable to access evacuation centres, food, water and other supplies during Cyclone Winston. The Fiji </w:t>
      </w:r>
      <w:r w:rsidR="00A40B68" w:rsidRPr="00394C86">
        <w:rPr>
          <w:color w:val="3C3C3C" w:themeColor="background2" w:themeShade="40"/>
          <w:lang w:val="en-AU"/>
        </w:rPr>
        <w:t>country plan includes</w:t>
      </w:r>
      <w:r w:rsidR="00A94C92" w:rsidRPr="00394C86">
        <w:rPr>
          <w:color w:val="3C3C3C" w:themeColor="background2" w:themeShade="40"/>
          <w:lang w:val="en-AU"/>
        </w:rPr>
        <w:t xml:space="preserve"> outcomes and indicators on LGBTQI inclusion. In other focus countries</w:t>
      </w:r>
      <w:r w:rsidR="00E4533E" w:rsidRPr="00394C86">
        <w:rPr>
          <w:color w:val="3C3C3C" w:themeColor="background2" w:themeShade="40"/>
          <w:lang w:val="en-AU"/>
        </w:rPr>
        <w:t>,</w:t>
      </w:r>
      <w:r w:rsidR="00A94C92" w:rsidRPr="00394C86">
        <w:rPr>
          <w:color w:val="3C3C3C" w:themeColor="background2" w:themeShade="40"/>
          <w:lang w:val="en-AU"/>
        </w:rPr>
        <w:t xml:space="preserve"> this level of commitment could not be achieved thro</w:t>
      </w:r>
      <w:r w:rsidR="005C39C1" w:rsidRPr="00394C86">
        <w:rPr>
          <w:color w:val="3C3C3C" w:themeColor="background2" w:themeShade="40"/>
          <w:lang w:val="en-AU"/>
        </w:rPr>
        <w:t>ugh the design process but may</w:t>
      </w:r>
      <w:r w:rsidR="00A94C92" w:rsidRPr="00394C86">
        <w:rPr>
          <w:color w:val="3C3C3C" w:themeColor="background2" w:themeShade="40"/>
          <w:lang w:val="en-AU"/>
        </w:rPr>
        <w:t xml:space="preserve"> develop through </w:t>
      </w:r>
      <w:r w:rsidR="00A40B68" w:rsidRPr="00394C86">
        <w:rPr>
          <w:color w:val="3C3C3C" w:themeColor="background2" w:themeShade="40"/>
          <w:lang w:val="en-AU"/>
        </w:rPr>
        <w:t>cross</w:t>
      </w:r>
      <w:r w:rsidR="00E4533E" w:rsidRPr="00394C86">
        <w:rPr>
          <w:color w:val="3C3C3C" w:themeColor="background2" w:themeShade="40"/>
          <w:lang w:val="en-AU"/>
        </w:rPr>
        <w:t>-</w:t>
      </w:r>
      <w:r w:rsidR="00A40B68" w:rsidRPr="00394C86">
        <w:rPr>
          <w:color w:val="3C3C3C" w:themeColor="background2" w:themeShade="40"/>
          <w:lang w:val="en-AU"/>
        </w:rPr>
        <w:t>country learning</w:t>
      </w:r>
      <w:r w:rsidR="00A94C92" w:rsidRPr="00394C86">
        <w:rPr>
          <w:color w:val="3C3C3C" w:themeColor="background2" w:themeShade="40"/>
          <w:lang w:val="en-AU"/>
        </w:rPr>
        <w:t xml:space="preserve"> </w:t>
      </w:r>
      <w:r w:rsidR="00A40B68" w:rsidRPr="00394C86">
        <w:rPr>
          <w:color w:val="3C3C3C" w:themeColor="background2" w:themeShade="40"/>
          <w:lang w:val="en-AU"/>
        </w:rPr>
        <w:t>as the program rolls out</w:t>
      </w:r>
      <w:r w:rsidR="00A94C92" w:rsidRPr="00394C86">
        <w:rPr>
          <w:color w:val="3C3C3C" w:themeColor="background2" w:themeShade="40"/>
          <w:lang w:val="en-AU"/>
        </w:rPr>
        <w:t xml:space="preserve">. </w:t>
      </w:r>
      <w:r w:rsidR="0004008C" w:rsidRPr="00394C86">
        <w:rPr>
          <w:color w:val="3C3C3C" w:themeColor="background2" w:themeShade="40"/>
          <w:lang w:val="en-AU"/>
        </w:rPr>
        <w:t>Annual country reviews will be an opportunity to raise this issue and seek commitment to action in annual implementation plans.</w:t>
      </w:r>
      <w:r w:rsidR="00921E6E">
        <w:rPr>
          <w:color w:val="3C3C3C" w:themeColor="background2" w:themeShade="40"/>
          <w:lang w:val="en-AU"/>
        </w:rPr>
        <w:br/>
      </w:r>
      <w:r w:rsidR="00921E6E">
        <w:rPr>
          <w:color w:val="3C3C3C" w:themeColor="background2" w:themeShade="40"/>
          <w:lang w:val="en-AU"/>
        </w:rPr>
        <w:br/>
      </w:r>
      <w:r w:rsidR="00A31494" w:rsidRPr="00394C86">
        <w:rPr>
          <w:color w:val="3C3C3C" w:themeColor="background2" w:themeShade="40"/>
          <w:lang w:val="en-AU"/>
        </w:rPr>
        <w:t>Specific g</w:t>
      </w:r>
      <w:r w:rsidR="005E2FD9" w:rsidRPr="00394C86">
        <w:rPr>
          <w:color w:val="3C3C3C" w:themeColor="background2" w:themeShade="40"/>
          <w:lang w:val="en-AU"/>
        </w:rPr>
        <w:t xml:space="preserve">ender analysis </w:t>
      </w:r>
      <w:r w:rsidR="00323A8B" w:rsidRPr="00394C86">
        <w:rPr>
          <w:color w:val="3C3C3C" w:themeColor="background2" w:themeShade="40"/>
          <w:lang w:val="en-AU"/>
        </w:rPr>
        <w:t xml:space="preserve">in country plans and </w:t>
      </w:r>
      <w:r w:rsidR="005E2FD9" w:rsidRPr="00394C86">
        <w:rPr>
          <w:color w:val="3C3C3C" w:themeColor="background2" w:themeShade="40"/>
          <w:lang w:val="en-AU"/>
        </w:rPr>
        <w:t xml:space="preserve">in </w:t>
      </w:r>
      <w:r w:rsidR="00451291" w:rsidRPr="00394C86">
        <w:rPr>
          <w:color w:val="3C3C3C" w:themeColor="background2" w:themeShade="40"/>
          <w:lang w:val="en-AU"/>
        </w:rPr>
        <w:t>activity plans</w:t>
      </w:r>
      <w:r w:rsidR="005E2FD9" w:rsidRPr="00394C86">
        <w:rPr>
          <w:color w:val="3C3C3C" w:themeColor="background2" w:themeShade="40"/>
          <w:lang w:val="en-AU"/>
        </w:rPr>
        <w:t xml:space="preserve"> provides the basis for action</w:t>
      </w:r>
      <w:r w:rsidR="00323A8B" w:rsidRPr="00394C86">
        <w:rPr>
          <w:color w:val="3C3C3C" w:themeColor="background2" w:themeShade="40"/>
          <w:lang w:val="en-AU"/>
        </w:rPr>
        <w:t xml:space="preserve"> that is meaningful in each country context</w:t>
      </w:r>
      <w:r w:rsidR="005E2FD9" w:rsidRPr="00394C86">
        <w:rPr>
          <w:color w:val="3C3C3C" w:themeColor="background2" w:themeShade="40"/>
          <w:lang w:val="en-AU"/>
        </w:rPr>
        <w:t xml:space="preserve">. </w:t>
      </w:r>
      <w:r w:rsidR="00323A8B" w:rsidRPr="00394C86">
        <w:rPr>
          <w:color w:val="3C3C3C" w:themeColor="background2" w:themeShade="40"/>
          <w:lang w:val="en-AU"/>
        </w:rPr>
        <w:t xml:space="preserve">Gender </w:t>
      </w:r>
      <w:r w:rsidR="0056712E" w:rsidRPr="00394C86">
        <w:rPr>
          <w:color w:val="3C3C3C" w:themeColor="background2" w:themeShade="40"/>
          <w:lang w:val="en-AU"/>
        </w:rPr>
        <w:t xml:space="preserve">humanitarian </w:t>
      </w:r>
      <w:r w:rsidR="00323A8B" w:rsidRPr="00394C86">
        <w:rPr>
          <w:color w:val="3C3C3C" w:themeColor="background2" w:themeShade="40"/>
          <w:lang w:val="en-AU"/>
        </w:rPr>
        <w:t>expertise was provided to AHP NGOs</w:t>
      </w:r>
      <w:r w:rsidR="00682C18" w:rsidRPr="00394C86">
        <w:rPr>
          <w:color w:val="3C3C3C" w:themeColor="background2" w:themeShade="40"/>
          <w:lang w:val="en-AU"/>
        </w:rPr>
        <w:t xml:space="preserve"> through</w:t>
      </w:r>
      <w:r w:rsidR="0084493A" w:rsidRPr="00394C86">
        <w:rPr>
          <w:color w:val="3C3C3C" w:themeColor="background2" w:themeShade="40"/>
          <w:lang w:val="en-AU"/>
        </w:rPr>
        <w:t>:</w:t>
      </w:r>
    </w:p>
    <w:p w14:paraId="62902E7B" w14:textId="09E2D574" w:rsidR="0084493A" w:rsidRPr="00394C86" w:rsidRDefault="00682C18" w:rsidP="007E0713">
      <w:pPr>
        <w:pStyle w:val="ListParagraph"/>
        <w:numPr>
          <w:ilvl w:val="0"/>
          <w:numId w:val="2"/>
        </w:numPr>
        <w:rPr>
          <w:color w:val="3C3C3C" w:themeColor="background2" w:themeShade="40"/>
        </w:rPr>
      </w:pPr>
      <w:r w:rsidRPr="00394C86">
        <w:rPr>
          <w:color w:val="3C3C3C" w:themeColor="background2" w:themeShade="40"/>
        </w:rPr>
        <w:t xml:space="preserve">a background guidance paper </w:t>
      </w:r>
      <w:r w:rsidR="0084493A" w:rsidRPr="00394C86">
        <w:rPr>
          <w:color w:val="3C3C3C" w:themeColor="background2" w:themeShade="40"/>
        </w:rPr>
        <w:t>which provided a detailed analysis of opportunities in gender</w:t>
      </w:r>
      <w:r w:rsidR="00E4533E" w:rsidRPr="00394C86">
        <w:rPr>
          <w:color w:val="3C3C3C" w:themeColor="background2" w:themeShade="40"/>
        </w:rPr>
        <w:t>-</w:t>
      </w:r>
      <w:r w:rsidR="0084493A" w:rsidRPr="00394C86">
        <w:rPr>
          <w:color w:val="3C3C3C" w:themeColor="background2" w:themeShade="40"/>
        </w:rPr>
        <w:t xml:space="preserve">responsive </w:t>
      </w:r>
      <w:r w:rsidR="00295E7A" w:rsidRPr="00394C86">
        <w:rPr>
          <w:color w:val="3C3C3C" w:themeColor="background2" w:themeShade="40"/>
        </w:rPr>
        <w:t>DRR and</w:t>
      </w:r>
      <w:r w:rsidR="0084493A" w:rsidRPr="00394C86">
        <w:rPr>
          <w:color w:val="3C3C3C" w:themeColor="background2" w:themeShade="40"/>
        </w:rPr>
        <w:t xml:space="preserve"> includ</w:t>
      </w:r>
      <w:r w:rsidR="00295E7A" w:rsidRPr="00394C86">
        <w:rPr>
          <w:color w:val="3C3C3C" w:themeColor="background2" w:themeShade="40"/>
        </w:rPr>
        <w:t>ed</w:t>
      </w:r>
      <w:r w:rsidR="0084493A" w:rsidRPr="00394C86">
        <w:rPr>
          <w:color w:val="3C3C3C" w:themeColor="background2" w:themeShade="40"/>
        </w:rPr>
        <w:t xml:space="preserve"> examples from around the Pacific</w:t>
      </w:r>
      <w:r w:rsidR="00E4533E" w:rsidRPr="00394C86">
        <w:rPr>
          <w:color w:val="3C3C3C" w:themeColor="background2" w:themeShade="40"/>
        </w:rPr>
        <w:t>;</w:t>
      </w:r>
    </w:p>
    <w:p w14:paraId="507819BF" w14:textId="196A78F4" w:rsidR="00965798" w:rsidRPr="00394C86" w:rsidRDefault="00682C18">
      <w:pPr>
        <w:pStyle w:val="ListParagraph"/>
        <w:numPr>
          <w:ilvl w:val="0"/>
          <w:numId w:val="2"/>
        </w:numPr>
        <w:rPr>
          <w:color w:val="3C3C3C" w:themeColor="background2" w:themeShade="40"/>
        </w:rPr>
      </w:pPr>
      <w:r w:rsidRPr="00394C86">
        <w:rPr>
          <w:color w:val="3C3C3C" w:themeColor="background2" w:themeShade="40"/>
        </w:rPr>
        <w:t>a p</w:t>
      </w:r>
      <w:r w:rsidR="0084493A" w:rsidRPr="00394C86">
        <w:rPr>
          <w:color w:val="3C3C3C" w:themeColor="background2" w:themeShade="40"/>
        </w:rPr>
        <w:t xml:space="preserve">ractical </w:t>
      </w:r>
      <w:r w:rsidRPr="00394C86">
        <w:rPr>
          <w:color w:val="3C3C3C" w:themeColor="background2" w:themeShade="40"/>
        </w:rPr>
        <w:t>session at the initial design workshop</w:t>
      </w:r>
      <w:r w:rsidR="0084493A" w:rsidRPr="00394C86">
        <w:rPr>
          <w:color w:val="3C3C3C" w:themeColor="background2" w:themeShade="40"/>
        </w:rPr>
        <w:t xml:space="preserve"> presented by </w:t>
      </w:r>
      <w:r w:rsidR="00D163E7" w:rsidRPr="00394C86">
        <w:rPr>
          <w:color w:val="3C3C3C" w:themeColor="background2" w:themeShade="40"/>
        </w:rPr>
        <w:t xml:space="preserve">CARE </w:t>
      </w:r>
      <w:r w:rsidR="0084493A" w:rsidRPr="00394C86">
        <w:rPr>
          <w:color w:val="3C3C3C" w:themeColor="background2" w:themeShade="40"/>
        </w:rPr>
        <w:t>gender specialists from Australia and Vanuatu</w:t>
      </w:r>
      <w:r w:rsidR="00D90569" w:rsidRPr="00394C86">
        <w:rPr>
          <w:color w:val="3C3C3C" w:themeColor="background2" w:themeShade="40"/>
        </w:rPr>
        <w:t xml:space="preserve"> </w:t>
      </w:r>
      <w:r w:rsidR="00295E7A" w:rsidRPr="00394C86">
        <w:rPr>
          <w:color w:val="3C3C3C" w:themeColor="background2" w:themeShade="40"/>
        </w:rPr>
        <w:t xml:space="preserve">as well as </w:t>
      </w:r>
      <w:r w:rsidR="00D90569" w:rsidRPr="00394C86">
        <w:rPr>
          <w:color w:val="3C3C3C" w:themeColor="background2" w:themeShade="40"/>
        </w:rPr>
        <w:t>an additional ses</w:t>
      </w:r>
      <w:r w:rsidR="00965798" w:rsidRPr="00394C86">
        <w:rPr>
          <w:color w:val="3C3C3C" w:themeColor="background2" w:themeShade="40"/>
        </w:rPr>
        <w:t xml:space="preserve">sion on gender equality presented by </w:t>
      </w:r>
      <w:r w:rsidR="00D163E7" w:rsidRPr="00394C86">
        <w:rPr>
          <w:color w:val="3C3C3C" w:themeColor="background2" w:themeShade="40"/>
        </w:rPr>
        <w:t xml:space="preserve">CARE </w:t>
      </w:r>
      <w:r w:rsidR="00965798" w:rsidRPr="00394C86">
        <w:rPr>
          <w:color w:val="3C3C3C" w:themeColor="background2" w:themeShade="40"/>
        </w:rPr>
        <w:t>at each of the five country workshops</w:t>
      </w:r>
      <w:r w:rsidR="00E4533E" w:rsidRPr="00394C86">
        <w:rPr>
          <w:color w:val="3C3C3C" w:themeColor="background2" w:themeShade="40"/>
        </w:rPr>
        <w:t>; and</w:t>
      </w:r>
    </w:p>
    <w:p w14:paraId="50A1FFD1" w14:textId="24AEF572" w:rsidR="00965798" w:rsidRPr="00394C86" w:rsidRDefault="0084493A" w:rsidP="007E0713">
      <w:pPr>
        <w:pStyle w:val="ListParagraph"/>
        <w:numPr>
          <w:ilvl w:val="0"/>
          <w:numId w:val="2"/>
        </w:numPr>
        <w:rPr>
          <w:color w:val="3C3C3C" w:themeColor="background2" w:themeShade="40"/>
        </w:rPr>
      </w:pPr>
      <w:r w:rsidRPr="00394C86">
        <w:rPr>
          <w:color w:val="3C3C3C" w:themeColor="background2" w:themeShade="40"/>
        </w:rPr>
        <w:t xml:space="preserve">gender </w:t>
      </w:r>
      <w:r w:rsidR="0056712E" w:rsidRPr="00394C86">
        <w:rPr>
          <w:color w:val="3C3C3C" w:themeColor="background2" w:themeShade="40"/>
        </w:rPr>
        <w:t xml:space="preserve">humanitarian </w:t>
      </w:r>
      <w:r w:rsidR="00682C18" w:rsidRPr="00394C86">
        <w:rPr>
          <w:color w:val="3C3C3C" w:themeColor="background2" w:themeShade="40"/>
        </w:rPr>
        <w:t xml:space="preserve">technical expertise </w:t>
      </w:r>
      <w:r w:rsidRPr="00394C86">
        <w:rPr>
          <w:color w:val="3C3C3C" w:themeColor="background2" w:themeShade="40"/>
        </w:rPr>
        <w:t xml:space="preserve">provided </w:t>
      </w:r>
      <w:r w:rsidR="00682C18" w:rsidRPr="00394C86">
        <w:rPr>
          <w:color w:val="3C3C3C" w:themeColor="background2" w:themeShade="40"/>
        </w:rPr>
        <w:t>to support each NGO</w:t>
      </w:r>
      <w:r w:rsidR="00D163E7" w:rsidRPr="00394C86">
        <w:rPr>
          <w:color w:val="3C3C3C" w:themeColor="background2" w:themeShade="40"/>
        </w:rPr>
        <w:t>’</w:t>
      </w:r>
      <w:r w:rsidR="00682C18" w:rsidRPr="00394C86">
        <w:rPr>
          <w:color w:val="3C3C3C" w:themeColor="background2" w:themeShade="40"/>
        </w:rPr>
        <w:t>s design process</w:t>
      </w:r>
      <w:r w:rsidR="00DE4A09" w:rsidRPr="00394C86">
        <w:rPr>
          <w:color w:val="3C3C3C" w:themeColor="background2" w:themeShade="40"/>
        </w:rPr>
        <w:t xml:space="preserve"> and a comprehensive review of each </w:t>
      </w:r>
      <w:r w:rsidR="00451291" w:rsidRPr="00394C86">
        <w:rPr>
          <w:color w:val="3C3C3C" w:themeColor="background2" w:themeShade="40"/>
        </w:rPr>
        <w:t>activity plan</w:t>
      </w:r>
      <w:r w:rsidR="00FB33AB" w:rsidRPr="00394C86">
        <w:rPr>
          <w:color w:val="3C3C3C" w:themeColor="background2" w:themeShade="40"/>
        </w:rPr>
        <w:t xml:space="preserve"> </w:t>
      </w:r>
      <w:r w:rsidR="00DE4A09" w:rsidRPr="00394C86">
        <w:rPr>
          <w:color w:val="3C3C3C" w:themeColor="background2" w:themeShade="40"/>
        </w:rPr>
        <w:t>in relation to gender equality</w:t>
      </w:r>
      <w:r w:rsidR="00E4533E" w:rsidRPr="00394C86">
        <w:rPr>
          <w:color w:val="3C3C3C" w:themeColor="background2" w:themeShade="40"/>
        </w:rPr>
        <w:t>.</w:t>
      </w:r>
    </w:p>
    <w:p w14:paraId="52770643" w14:textId="69499CFF" w:rsidR="00657E60" w:rsidRPr="00394C86" w:rsidRDefault="00965798">
      <w:pPr>
        <w:rPr>
          <w:color w:val="3C3C3C" w:themeColor="background2" w:themeShade="40"/>
          <w:lang w:val="en-AU"/>
        </w:rPr>
      </w:pPr>
      <w:r w:rsidRPr="00394C86">
        <w:rPr>
          <w:color w:val="3C3C3C" w:themeColor="background2" w:themeShade="40"/>
          <w:lang w:val="en-AU"/>
        </w:rPr>
        <w:t xml:space="preserve">Collectively, this has aimed to </w:t>
      </w:r>
      <w:r w:rsidR="00323A8B" w:rsidRPr="00394C86">
        <w:rPr>
          <w:color w:val="3C3C3C" w:themeColor="background2" w:themeShade="40"/>
          <w:lang w:val="en-AU"/>
        </w:rPr>
        <w:t xml:space="preserve">ensure </w:t>
      </w:r>
      <w:r w:rsidRPr="00394C86">
        <w:rPr>
          <w:color w:val="3C3C3C" w:themeColor="background2" w:themeShade="40"/>
          <w:lang w:val="en-AU"/>
        </w:rPr>
        <w:t xml:space="preserve">that all </w:t>
      </w:r>
      <w:r w:rsidR="00451291" w:rsidRPr="00394C86">
        <w:rPr>
          <w:color w:val="3C3C3C" w:themeColor="background2" w:themeShade="40"/>
          <w:lang w:val="en-AU"/>
        </w:rPr>
        <w:t>activity plan</w:t>
      </w:r>
      <w:r w:rsidR="00FB33AB" w:rsidRPr="00394C86">
        <w:rPr>
          <w:color w:val="3C3C3C" w:themeColor="background2" w:themeShade="40"/>
          <w:lang w:val="en-AU"/>
        </w:rPr>
        <w:t>s</w:t>
      </w:r>
      <w:r w:rsidR="005E2FD9" w:rsidRPr="00394C86">
        <w:rPr>
          <w:color w:val="3C3C3C" w:themeColor="background2" w:themeShade="40"/>
          <w:lang w:val="en-AU"/>
        </w:rPr>
        <w:t xml:space="preserve"> go beyond counting the number of women participating in the program to a more transformative approach</w:t>
      </w:r>
      <w:r w:rsidR="00323A8B" w:rsidRPr="00394C86">
        <w:rPr>
          <w:color w:val="3C3C3C" w:themeColor="background2" w:themeShade="40"/>
          <w:lang w:val="en-AU"/>
        </w:rPr>
        <w:t xml:space="preserve">. This includes </w:t>
      </w:r>
      <w:r w:rsidR="005E2FD9" w:rsidRPr="00394C86">
        <w:rPr>
          <w:color w:val="3C3C3C" w:themeColor="background2" w:themeShade="40"/>
          <w:lang w:val="en-AU"/>
        </w:rPr>
        <w:t>challenging gender norms</w:t>
      </w:r>
      <w:r w:rsidR="00A31494" w:rsidRPr="00394C86">
        <w:rPr>
          <w:color w:val="3C3C3C" w:themeColor="background2" w:themeShade="40"/>
          <w:lang w:val="en-AU"/>
        </w:rPr>
        <w:t xml:space="preserve"> and engaging men and boys to address barriers to gender equality</w:t>
      </w:r>
      <w:r w:rsidR="005E2FD9" w:rsidRPr="00394C86">
        <w:rPr>
          <w:color w:val="3C3C3C" w:themeColor="background2" w:themeShade="40"/>
          <w:lang w:val="en-AU"/>
        </w:rPr>
        <w:t>, supporting women’s leadership and access to resources, preventing violence</w:t>
      </w:r>
      <w:r w:rsidR="00275C10" w:rsidRPr="00394C86">
        <w:rPr>
          <w:color w:val="3C3C3C" w:themeColor="background2" w:themeShade="40"/>
          <w:lang w:val="en-AU"/>
        </w:rPr>
        <w:t>,</w:t>
      </w:r>
      <w:r w:rsidR="005E2FD9" w:rsidRPr="00394C86">
        <w:rPr>
          <w:color w:val="3C3C3C" w:themeColor="background2" w:themeShade="40"/>
          <w:lang w:val="en-AU"/>
        </w:rPr>
        <w:t xml:space="preserve"> and ensuring </w:t>
      </w:r>
      <w:r w:rsidR="00275C10" w:rsidRPr="00394C86">
        <w:rPr>
          <w:color w:val="3C3C3C" w:themeColor="background2" w:themeShade="40"/>
          <w:lang w:val="en-AU"/>
        </w:rPr>
        <w:t xml:space="preserve">that </w:t>
      </w:r>
      <w:r w:rsidR="005E2FD9" w:rsidRPr="00394C86">
        <w:rPr>
          <w:color w:val="3C3C3C" w:themeColor="background2" w:themeShade="40"/>
          <w:lang w:val="en-AU"/>
        </w:rPr>
        <w:t xml:space="preserve">women’s needs are embedded in humanitarian tools, systems and practice. </w:t>
      </w:r>
      <w:r w:rsidR="00F83E02" w:rsidRPr="00394C86">
        <w:rPr>
          <w:color w:val="3C3C3C" w:themeColor="background2" w:themeShade="40"/>
          <w:lang w:val="en-AU"/>
        </w:rPr>
        <w:t>Shared s</w:t>
      </w:r>
      <w:r w:rsidR="00BF1A40" w:rsidRPr="00394C86">
        <w:rPr>
          <w:color w:val="3C3C3C" w:themeColor="background2" w:themeShade="40"/>
          <w:lang w:val="en-AU"/>
        </w:rPr>
        <w:t>ervices</w:t>
      </w:r>
      <w:r w:rsidR="0004008C" w:rsidRPr="00394C86">
        <w:rPr>
          <w:color w:val="3C3C3C" w:themeColor="background2" w:themeShade="40"/>
          <w:lang w:val="en-AU"/>
        </w:rPr>
        <w:t xml:space="preserve"> provides a platform for NGOs to learn and improve their approach to gender equality. </w:t>
      </w:r>
      <w:r w:rsidR="00013349" w:rsidRPr="00394C86">
        <w:rPr>
          <w:color w:val="3C3C3C" w:themeColor="background2" w:themeShade="40"/>
          <w:lang w:val="en-AU"/>
        </w:rPr>
        <w:t xml:space="preserve">Progress in this area will be monitored annually by </w:t>
      </w:r>
      <w:r w:rsidR="009D0B2B" w:rsidRPr="00394C86">
        <w:rPr>
          <w:color w:val="3C3C3C" w:themeColor="background2" w:themeShade="40"/>
          <w:lang w:val="en-AU"/>
        </w:rPr>
        <w:t>Country Committee</w:t>
      </w:r>
      <w:r w:rsidR="00013349" w:rsidRPr="00394C86">
        <w:rPr>
          <w:color w:val="3C3C3C" w:themeColor="background2" w:themeShade="40"/>
          <w:lang w:val="en-AU"/>
        </w:rPr>
        <w:t xml:space="preserve">s and the </w:t>
      </w:r>
      <w:r w:rsidR="001B44A2" w:rsidRPr="00394C86">
        <w:rPr>
          <w:color w:val="3C3C3C" w:themeColor="background2" w:themeShade="40"/>
          <w:lang w:val="en-AU"/>
        </w:rPr>
        <w:t>AHP SU</w:t>
      </w:r>
      <w:r w:rsidR="00013349" w:rsidRPr="00394C86">
        <w:rPr>
          <w:color w:val="3C3C3C" w:themeColor="background2" w:themeShade="40"/>
          <w:lang w:val="en-AU"/>
        </w:rPr>
        <w:t>.</w:t>
      </w:r>
      <w:r w:rsidR="0004008C" w:rsidRPr="00394C86">
        <w:rPr>
          <w:color w:val="3C3C3C" w:themeColor="background2" w:themeShade="40"/>
          <w:lang w:val="en-AU"/>
        </w:rPr>
        <w:t xml:space="preserve"> The annual review will also be an opportunity to reflect on and incorporate </w:t>
      </w:r>
      <w:r w:rsidR="0004008C" w:rsidRPr="00394C86">
        <w:rPr>
          <w:color w:val="3C3C3C" w:themeColor="background2" w:themeShade="40"/>
          <w:lang w:val="en-AU"/>
        </w:rPr>
        <w:lastRenderedPageBreak/>
        <w:t>country</w:t>
      </w:r>
      <w:r w:rsidR="00275C10" w:rsidRPr="00394C86">
        <w:rPr>
          <w:color w:val="3C3C3C" w:themeColor="background2" w:themeShade="40"/>
          <w:lang w:val="en-AU"/>
        </w:rPr>
        <w:t>-</w:t>
      </w:r>
      <w:r w:rsidR="0004008C" w:rsidRPr="00394C86">
        <w:rPr>
          <w:color w:val="3C3C3C" w:themeColor="background2" w:themeShade="40"/>
          <w:lang w:val="en-AU"/>
        </w:rPr>
        <w:t>specific learning and evidence from AHP NGOs as well as research from government and other sources.</w:t>
      </w:r>
      <w:r w:rsidR="00921E6E">
        <w:rPr>
          <w:color w:val="3C3C3C" w:themeColor="background2" w:themeShade="40"/>
          <w:lang w:val="en-AU"/>
        </w:rPr>
        <w:br/>
      </w:r>
    </w:p>
    <w:p w14:paraId="05DEAE37" w14:textId="797418D8" w:rsidR="00D3318E" w:rsidRPr="00394C86" w:rsidRDefault="008B2140" w:rsidP="00110706">
      <w:pPr>
        <w:pStyle w:val="Heading1"/>
        <w:rPr>
          <w:rFonts w:ascii="Calibri" w:hAnsi="Calibri" w:cs="Calibri"/>
          <w:lang w:val="en-AU"/>
        </w:rPr>
      </w:pPr>
      <w:bookmarkStart w:id="58" w:name="_Toc501451690"/>
      <w:r w:rsidRPr="00394C86">
        <w:rPr>
          <w:rFonts w:ascii="Calibri" w:hAnsi="Calibri" w:cs="Calibri"/>
          <w:lang w:val="en-AU"/>
        </w:rPr>
        <w:t>Disability inclusi</w:t>
      </w:r>
      <w:r w:rsidR="00315F47" w:rsidRPr="00394C86">
        <w:rPr>
          <w:rFonts w:ascii="Calibri" w:hAnsi="Calibri" w:cs="Calibri"/>
          <w:lang w:val="en-AU"/>
        </w:rPr>
        <w:t>on</w:t>
      </w:r>
      <w:bookmarkEnd w:id="58"/>
    </w:p>
    <w:p w14:paraId="7DC292EE" w14:textId="77777777" w:rsidR="002B56A6" w:rsidRPr="00394C86" w:rsidRDefault="002B56A6" w:rsidP="00C938FA">
      <w:pPr>
        <w:pStyle w:val="Heading3"/>
        <w:rPr>
          <w:rFonts w:ascii="Calibri" w:hAnsi="Calibri" w:cs="Calibri"/>
          <w:lang w:val="en-AU"/>
        </w:rPr>
      </w:pPr>
      <w:bookmarkStart w:id="59" w:name="_Toc501451691"/>
      <w:r w:rsidRPr="00394C86">
        <w:rPr>
          <w:rFonts w:ascii="Calibri" w:hAnsi="Calibri" w:cs="Calibri"/>
          <w:lang w:val="en-AU"/>
        </w:rPr>
        <w:t>Background analysis</w:t>
      </w:r>
      <w:bookmarkEnd w:id="59"/>
    </w:p>
    <w:p w14:paraId="7BD41DC2" w14:textId="2D5495FB" w:rsidR="002B56A6" w:rsidRPr="00394C86" w:rsidRDefault="00D3318E" w:rsidP="00110706">
      <w:pPr>
        <w:rPr>
          <w:color w:val="3C3C3C" w:themeColor="background2" w:themeShade="40"/>
          <w:lang w:val="en-AU"/>
        </w:rPr>
      </w:pPr>
      <w:r w:rsidRPr="00394C86">
        <w:rPr>
          <w:color w:val="3C3C3C" w:themeColor="background2" w:themeShade="40"/>
          <w:lang w:val="en-AU"/>
        </w:rPr>
        <w:t>Disability</w:t>
      </w:r>
      <w:r w:rsidR="00F77855" w:rsidRPr="00394C86">
        <w:rPr>
          <w:color w:val="3C3C3C" w:themeColor="background2" w:themeShade="40"/>
          <w:lang w:val="en-AU"/>
        </w:rPr>
        <w:t>-</w:t>
      </w:r>
      <w:r w:rsidRPr="00394C86">
        <w:rPr>
          <w:color w:val="3C3C3C" w:themeColor="background2" w:themeShade="40"/>
          <w:lang w:val="en-AU"/>
        </w:rPr>
        <w:t xml:space="preserve">inclusive DRR </w:t>
      </w:r>
      <w:r w:rsidR="00677C20" w:rsidRPr="00394C86">
        <w:rPr>
          <w:color w:val="3C3C3C" w:themeColor="background2" w:themeShade="40"/>
          <w:lang w:val="en-AU"/>
        </w:rPr>
        <w:t xml:space="preserve">(DiDRR) </w:t>
      </w:r>
      <w:r w:rsidRPr="00394C86">
        <w:rPr>
          <w:color w:val="3C3C3C" w:themeColor="background2" w:themeShade="40"/>
          <w:lang w:val="en-AU"/>
        </w:rPr>
        <w:t>is an emerging field of work</w:t>
      </w:r>
      <w:r w:rsidR="003F23CB" w:rsidRPr="00394C86">
        <w:rPr>
          <w:rStyle w:val="FootnoteReference"/>
          <w:color w:val="3C3C3C" w:themeColor="background2" w:themeShade="40"/>
          <w:lang w:val="en-AU"/>
        </w:rPr>
        <w:footnoteReference w:id="57"/>
      </w:r>
      <w:r w:rsidRPr="00394C86">
        <w:rPr>
          <w:color w:val="3C3C3C" w:themeColor="background2" w:themeShade="40"/>
          <w:lang w:val="en-AU"/>
        </w:rPr>
        <w:t xml:space="preserve">. </w:t>
      </w:r>
      <w:r w:rsidR="00F067FE" w:rsidRPr="00394C86">
        <w:rPr>
          <w:color w:val="3C3C3C" w:themeColor="background2" w:themeShade="40"/>
          <w:lang w:val="en-AU"/>
        </w:rPr>
        <w:t xml:space="preserve">Since the 1990s there has been international recognition that socially disadvantaged people suffer the most from natural disasters. Recognition of the risks faced by </w:t>
      </w:r>
      <w:r w:rsidR="001A17F9" w:rsidRPr="00394C86">
        <w:rPr>
          <w:color w:val="3C3C3C" w:themeColor="background2" w:themeShade="40"/>
          <w:lang w:val="en-AU"/>
        </w:rPr>
        <w:t>people with disabilities</w:t>
      </w:r>
      <w:r w:rsidR="00F067FE" w:rsidRPr="00394C86">
        <w:rPr>
          <w:color w:val="3C3C3C" w:themeColor="background2" w:themeShade="40"/>
          <w:lang w:val="en-AU"/>
        </w:rPr>
        <w:t xml:space="preserve"> and the importance of proactive consultation with </w:t>
      </w:r>
      <w:r w:rsidR="001A17F9" w:rsidRPr="00394C86">
        <w:rPr>
          <w:color w:val="3C3C3C" w:themeColor="background2" w:themeShade="40"/>
          <w:lang w:val="en-AU"/>
        </w:rPr>
        <w:t>people with disabilities</w:t>
      </w:r>
      <w:r w:rsidR="003F23CB" w:rsidRPr="00394C86">
        <w:rPr>
          <w:color w:val="3C3C3C" w:themeColor="background2" w:themeShade="40"/>
          <w:lang w:val="en-AU"/>
        </w:rPr>
        <w:t xml:space="preserve"> is a more recent commitment. </w:t>
      </w:r>
      <w:r w:rsidR="00B263EF" w:rsidRPr="00394C86">
        <w:rPr>
          <w:color w:val="3C3C3C" w:themeColor="background2" w:themeShade="40"/>
          <w:lang w:val="en-AU"/>
        </w:rPr>
        <w:t xml:space="preserve">Translating that commitment into practice has lagged globally and in the Pacific and </w:t>
      </w:r>
      <w:r w:rsidR="00F3172F" w:rsidRPr="00394C86">
        <w:rPr>
          <w:color w:val="3C3C3C" w:themeColor="background2" w:themeShade="40"/>
          <w:lang w:val="en-AU"/>
        </w:rPr>
        <w:t>Timor-Leste</w:t>
      </w:r>
      <w:r w:rsidR="00B263EF" w:rsidRPr="00394C86">
        <w:rPr>
          <w:color w:val="3C3C3C" w:themeColor="background2" w:themeShade="40"/>
          <w:lang w:val="en-AU"/>
        </w:rPr>
        <w:t xml:space="preserve">. </w:t>
      </w:r>
      <w:r w:rsidR="0056712E" w:rsidRPr="00394C86">
        <w:rPr>
          <w:color w:val="3C3C3C" w:themeColor="background2" w:themeShade="40"/>
          <w:lang w:val="en-AU"/>
        </w:rPr>
        <w:t xml:space="preserve">In 2016 the Australian </w:t>
      </w:r>
      <w:r w:rsidR="00260C4C" w:rsidRPr="00394C86">
        <w:rPr>
          <w:color w:val="3C3C3C" w:themeColor="background2" w:themeShade="40"/>
          <w:lang w:val="en-AU"/>
        </w:rPr>
        <w:t>G</w:t>
      </w:r>
      <w:r w:rsidR="0056712E" w:rsidRPr="00394C86">
        <w:rPr>
          <w:color w:val="3C3C3C" w:themeColor="background2" w:themeShade="40"/>
          <w:lang w:val="en-AU"/>
        </w:rPr>
        <w:t>overnment endorsed the Charter for Disability Inclusion in Humanitarian Action and committed to practical action to implement the Charter</w:t>
      </w:r>
      <w:r w:rsidR="0056712E" w:rsidRPr="00394C86">
        <w:rPr>
          <w:rStyle w:val="FootnoteReference"/>
          <w:color w:val="3C3C3C" w:themeColor="background2" w:themeShade="40"/>
          <w:lang w:val="en-AU"/>
        </w:rPr>
        <w:footnoteReference w:id="58"/>
      </w:r>
      <w:r w:rsidR="0056712E" w:rsidRPr="00394C86">
        <w:rPr>
          <w:color w:val="3C3C3C" w:themeColor="background2" w:themeShade="40"/>
          <w:lang w:val="en-AU"/>
        </w:rPr>
        <w:t>.</w:t>
      </w:r>
      <w:r w:rsidR="00B263EF" w:rsidRPr="00394C86">
        <w:rPr>
          <w:color w:val="3C3C3C" w:themeColor="background2" w:themeShade="40"/>
          <w:lang w:val="en-AU"/>
        </w:rPr>
        <w:t xml:space="preserve">The Framework for Resilient Development in the </w:t>
      </w:r>
      <w:r w:rsidR="0056712E" w:rsidRPr="00394C86">
        <w:rPr>
          <w:color w:val="3C3C3C" w:themeColor="background2" w:themeShade="40"/>
          <w:lang w:val="en-AU"/>
        </w:rPr>
        <w:t xml:space="preserve">Pacific also </w:t>
      </w:r>
      <w:r w:rsidR="00B263EF" w:rsidRPr="00394C86">
        <w:rPr>
          <w:color w:val="3C3C3C" w:themeColor="background2" w:themeShade="40"/>
          <w:lang w:val="en-AU"/>
        </w:rPr>
        <w:t xml:space="preserve">provides impetus for </w:t>
      </w:r>
      <w:r w:rsidR="0056712E" w:rsidRPr="00394C86">
        <w:rPr>
          <w:color w:val="3C3C3C" w:themeColor="background2" w:themeShade="40"/>
          <w:lang w:val="en-AU"/>
        </w:rPr>
        <w:t>practical action</w:t>
      </w:r>
      <w:r w:rsidR="00B263EF" w:rsidRPr="00394C86">
        <w:rPr>
          <w:color w:val="3C3C3C" w:themeColor="background2" w:themeShade="40"/>
          <w:lang w:val="en-AU"/>
        </w:rPr>
        <w:t xml:space="preserve"> with its emphasis on an all</w:t>
      </w:r>
      <w:r w:rsidR="00275C10" w:rsidRPr="00394C86">
        <w:rPr>
          <w:color w:val="3C3C3C" w:themeColor="background2" w:themeShade="40"/>
          <w:lang w:val="en-AU"/>
        </w:rPr>
        <w:t>-</w:t>
      </w:r>
      <w:r w:rsidR="00B263EF" w:rsidRPr="00394C86">
        <w:rPr>
          <w:color w:val="3C3C3C" w:themeColor="background2" w:themeShade="40"/>
          <w:lang w:val="en-AU"/>
        </w:rPr>
        <w:t>stakeholder approach</w:t>
      </w:r>
      <w:r w:rsidR="0056712E" w:rsidRPr="00394C86">
        <w:rPr>
          <w:color w:val="3C3C3C" w:themeColor="background2" w:themeShade="40"/>
          <w:lang w:val="en-AU"/>
        </w:rPr>
        <w:t xml:space="preserve"> to </w:t>
      </w:r>
      <w:r w:rsidR="00F77855" w:rsidRPr="00394C86">
        <w:rPr>
          <w:color w:val="3C3C3C" w:themeColor="background2" w:themeShade="40"/>
          <w:lang w:val="en-AU"/>
        </w:rPr>
        <w:t>DRR</w:t>
      </w:r>
      <w:r w:rsidR="0056712E" w:rsidRPr="00394C86">
        <w:rPr>
          <w:color w:val="3C3C3C" w:themeColor="background2" w:themeShade="40"/>
          <w:lang w:val="en-AU"/>
        </w:rPr>
        <w:t xml:space="preserve"> and </w:t>
      </w:r>
      <w:r w:rsidR="00F77855" w:rsidRPr="00394C86">
        <w:rPr>
          <w:color w:val="3C3C3C" w:themeColor="background2" w:themeShade="40"/>
          <w:lang w:val="en-AU"/>
        </w:rPr>
        <w:t>CCA</w:t>
      </w:r>
      <w:r w:rsidR="00B263EF" w:rsidRPr="00394C86">
        <w:rPr>
          <w:color w:val="3C3C3C" w:themeColor="background2" w:themeShade="40"/>
          <w:lang w:val="en-AU"/>
        </w:rPr>
        <w:t>.</w:t>
      </w:r>
      <w:r w:rsidR="003F23CB" w:rsidRPr="00394C86">
        <w:rPr>
          <w:color w:val="3C3C3C" w:themeColor="background2" w:themeShade="40"/>
          <w:lang w:val="en-AU"/>
        </w:rPr>
        <w:t xml:space="preserve"> </w:t>
      </w:r>
    </w:p>
    <w:p w14:paraId="61199006" w14:textId="280DFA0A" w:rsidR="00271937" w:rsidRPr="00394C86" w:rsidRDefault="00271937" w:rsidP="00C938FA">
      <w:pPr>
        <w:pStyle w:val="Heading3"/>
        <w:rPr>
          <w:rFonts w:ascii="Calibri" w:hAnsi="Calibri" w:cs="Calibri"/>
          <w:lang w:val="en-AU"/>
        </w:rPr>
      </w:pPr>
      <w:bookmarkStart w:id="60" w:name="_Toc501451692"/>
      <w:r w:rsidRPr="00394C86">
        <w:rPr>
          <w:rFonts w:ascii="Calibri" w:hAnsi="Calibri" w:cs="Calibri"/>
          <w:lang w:val="en-AU"/>
        </w:rPr>
        <w:t xml:space="preserve">How the program will progress </w:t>
      </w:r>
      <w:r w:rsidR="00B9309E" w:rsidRPr="00394C86">
        <w:rPr>
          <w:rFonts w:ascii="Calibri" w:hAnsi="Calibri" w:cs="Calibri"/>
          <w:lang w:val="en-AU"/>
        </w:rPr>
        <w:t>d</w:t>
      </w:r>
      <w:r w:rsidRPr="00394C86">
        <w:rPr>
          <w:rFonts w:ascii="Calibri" w:hAnsi="Calibri" w:cs="Calibri"/>
          <w:lang w:val="en-AU"/>
        </w:rPr>
        <w:t xml:space="preserve">isability </w:t>
      </w:r>
      <w:r w:rsidR="00B9309E" w:rsidRPr="00394C86">
        <w:rPr>
          <w:rFonts w:ascii="Calibri" w:hAnsi="Calibri" w:cs="Calibri"/>
          <w:lang w:val="en-AU"/>
        </w:rPr>
        <w:t>i</w:t>
      </w:r>
      <w:r w:rsidRPr="00394C86">
        <w:rPr>
          <w:rFonts w:ascii="Calibri" w:hAnsi="Calibri" w:cs="Calibri"/>
          <w:lang w:val="en-AU"/>
        </w:rPr>
        <w:t>nclusion</w:t>
      </w:r>
      <w:bookmarkEnd w:id="60"/>
    </w:p>
    <w:p w14:paraId="27B597F5" w14:textId="16746884" w:rsidR="00BA0DCD" w:rsidRPr="00394C86" w:rsidRDefault="003F23CB" w:rsidP="00110706">
      <w:pPr>
        <w:rPr>
          <w:color w:val="3C3C3C" w:themeColor="background2" w:themeShade="40"/>
          <w:lang w:val="en-AU"/>
        </w:rPr>
      </w:pPr>
      <w:r w:rsidRPr="00394C86">
        <w:rPr>
          <w:color w:val="3C3C3C" w:themeColor="background2" w:themeShade="40"/>
          <w:lang w:val="en-AU"/>
        </w:rPr>
        <w:t xml:space="preserve">Disaster READY </w:t>
      </w:r>
      <w:r w:rsidR="0056712E" w:rsidRPr="00394C86">
        <w:rPr>
          <w:color w:val="3C3C3C" w:themeColor="background2" w:themeShade="40"/>
          <w:lang w:val="en-AU"/>
        </w:rPr>
        <w:t xml:space="preserve">will </w:t>
      </w:r>
      <w:r w:rsidR="00FE1F84" w:rsidRPr="00394C86">
        <w:rPr>
          <w:color w:val="3C3C3C" w:themeColor="background2" w:themeShade="40"/>
          <w:lang w:val="en-AU"/>
        </w:rPr>
        <w:t>build strong practice on</w:t>
      </w:r>
      <w:r w:rsidRPr="00394C86">
        <w:rPr>
          <w:color w:val="3C3C3C" w:themeColor="background2" w:themeShade="40"/>
          <w:lang w:val="en-AU"/>
        </w:rPr>
        <w:t xml:space="preserve"> disability inclusion in disaster preparedness and </w:t>
      </w:r>
      <w:r w:rsidR="0056712E" w:rsidRPr="00394C86">
        <w:rPr>
          <w:color w:val="3C3C3C" w:themeColor="background2" w:themeShade="40"/>
          <w:lang w:val="en-AU"/>
        </w:rPr>
        <w:t xml:space="preserve">collect data to </w:t>
      </w:r>
      <w:r w:rsidRPr="00394C86">
        <w:rPr>
          <w:color w:val="3C3C3C" w:themeColor="background2" w:themeShade="40"/>
          <w:lang w:val="en-AU"/>
        </w:rPr>
        <w:t xml:space="preserve">understand how </w:t>
      </w:r>
      <w:r w:rsidR="0056712E" w:rsidRPr="00394C86">
        <w:rPr>
          <w:color w:val="3C3C3C" w:themeColor="background2" w:themeShade="40"/>
          <w:lang w:val="en-AU"/>
        </w:rPr>
        <w:t>this action translates</w:t>
      </w:r>
      <w:r w:rsidRPr="00394C86">
        <w:rPr>
          <w:color w:val="3C3C3C" w:themeColor="background2" w:themeShade="40"/>
          <w:lang w:val="en-AU"/>
        </w:rPr>
        <w:t xml:space="preserve"> </w:t>
      </w:r>
      <w:r w:rsidR="00FE1F84" w:rsidRPr="00394C86">
        <w:rPr>
          <w:color w:val="3C3C3C" w:themeColor="background2" w:themeShade="40"/>
          <w:lang w:val="en-AU"/>
        </w:rPr>
        <w:t>in</w:t>
      </w:r>
      <w:r w:rsidR="00110706" w:rsidRPr="00394C86">
        <w:rPr>
          <w:color w:val="3C3C3C" w:themeColor="background2" w:themeShade="40"/>
          <w:lang w:val="en-AU"/>
        </w:rPr>
        <w:t>to</w:t>
      </w:r>
      <w:r w:rsidR="00FE1F84" w:rsidRPr="00394C86">
        <w:rPr>
          <w:color w:val="3C3C3C" w:themeColor="background2" w:themeShade="40"/>
          <w:lang w:val="en-AU"/>
        </w:rPr>
        <w:t xml:space="preserve"> </w:t>
      </w:r>
      <w:r w:rsidR="0056712E" w:rsidRPr="00394C86">
        <w:rPr>
          <w:color w:val="3C3C3C" w:themeColor="background2" w:themeShade="40"/>
          <w:lang w:val="en-AU"/>
        </w:rPr>
        <w:t>disaster responses that are inclusive of people with disabilities. Program indicators are disaggregated by disability, gender and age</w:t>
      </w:r>
      <w:r w:rsidRPr="00394C86">
        <w:rPr>
          <w:color w:val="3C3C3C" w:themeColor="background2" w:themeShade="40"/>
          <w:lang w:val="en-AU"/>
        </w:rPr>
        <w:t xml:space="preserve">. </w:t>
      </w:r>
      <w:r w:rsidR="00921E6E">
        <w:rPr>
          <w:color w:val="3C3C3C" w:themeColor="background2" w:themeShade="40"/>
          <w:lang w:val="en-AU"/>
        </w:rPr>
        <w:br/>
      </w:r>
      <w:r w:rsidR="00921E6E">
        <w:rPr>
          <w:color w:val="3C3C3C" w:themeColor="background2" w:themeShade="40"/>
          <w:lang w:val="en-AU"/>
        </w:rPr>
        <w:br/>
      </w:r>
      <w:r w:rsidR="0056712E" w:rsidRPr="00394C86">
        <w:rPr>
          <w:color w:val="3C3C3C" w:themeColor="background2" w:themeShade="40"/>
          <w:lang w:val="en-AU"/>
        </w:rPr>
        <w:t>A primer</w:t>
      </w:r>
      <w:r w:rsidR="00211C61" w:rsidRPr="00394C86">
        <w:rPr>
          <w:color w:val="3C3C3C" w:themeColor="background2" w:themeShade="40"/>
          <w:lang w:val="en-AU"/>
        </w:rPr>
        <w:t xml:space="preserve"> </w:t>
      </w:r>
      <w:r w:rsidR="005B086C" w:rsidRPr="00394C86">
        <w:rPr>
          <w:color w:val="3C3C3C" w:themeColor="background2" w:themeShade="40"/>
          <w:lang w:val="en-AU"/>
        </w:rPr>
        <w:t xml:space="preserve">on DiDRR </w:t>
      </w:r>
      <w:r w:rsidR="0056712E" w:rsidRPr="00394C86">
        <w:rPr>
          <w:color w:val="3C3C3C" w:themeColor="background2" w:themeShade="40"/>
          <w:lang w:val="en-AU"/>
        </w:rPr>
        <w:t xml:space="preserve">was prepared for the design process </w:t>
      </w:r>
      <w:r w:rsidR="005B086C" w:rsidRPr="00394C86">
        <w:rPr>
          <w:color w:val="3C3C3C" w:themeColor="background2" w:themeShade="40"/>
          <w:lang w:val="en-AU"/>
        </w:rPr>
        <w:t xml:space="preserve">(at Annex </w:t>
      </w:r>
      <w:r w:rsidR="00AE7822" w:rsidRPr="00394C86">
        <w:rPr>
          <w:color w:val="3C3C3C" w:themeColor="background2" w:themeShade="40"/>
          <w:lang w:val="en-AU"/>
        </w:rPr>
        <w:t>10</w:t>
      </w:r>
      <w:r w:rsidR="005B086C" w:rsidRPr="00394C86">
        <w:rPr>
          <w:color w:val="3C3C3C" w:themeColor="background2" w:themeShade="40"/>
          <w:lang w:val="en-AU"/>
        </w:rPr>
        <w:t>)</w:t>
      </w:r>
      <w:r w:rsidR="0056712E" w:rsidRPr="00394C86">
        <w:rPr>
          <w:color w:val="3C3C3C" w:themeColor="background2" w:themeShade="40"/>
          <w:lang w:val="en-AU"/>
        </w:rPr>
        <w:t xml:space="preserve">. A </w:t>
      </w:r>
      <w:r w:rsidR="007C14E0" w:rsidRPr="00394C86">
        <w:rPr>
          <w:color w:val="3C3C3C" w:themeColor="background2" w:themeShade="40"/>
          <w:lang w:val="en-AU"/>
        </w:rPr>
        <w:t>key principle</w:t>
      </w:r>
      <w:r w:rsidR="00110706" w:rsidRPr="00394C86">
        <w:rPr>
          <w:color w:val="3C3C3C" w:themeColor="background2" w:themeShade="40"/>
          <w:lang w:val="en-AU"/>
        </w:rPr>
        <w:t xml:space="preserve"> is to take</w:t>
      </w:r>
      <w:r w:rsidR="007C14E0" w:rsidRPr="00394C86">
        <w:rPr>
          <w:color w:val="3C3C3C" w:themeColor="background2" w:themeShade="40"/>
          <w:lang w:val="en-AU"/>
        </w:rPr>
        <w:t xml:space="preserve"> a risk</w:t>
      </w:r>
      <w:r w:rsidR="00275C10" w:rsidRPr="00394C86">
        <w:rPr>
          <w:color w:val="3C3C3C" w:themeColor="background2" w:themeShade="40"/>
          <w:lang w:val="en-AU"/>
        </w:rPr>
        <w:t>-</w:t>
      </w:r>
      <w:r w:rsidR="007C14E0" w:rsidRPr="00394C86">
        <w:rPr>
          <w:color w:val="3C3C3C" w:themeColor="background2" w:themeShade="40"/>
          <w:lang w:val="en-AU"/>
        </w:rPr>
        <w:t>based approach</w:t>
      </w:r>
      <w:r w:rsidR="004112AB" w:rsidRPr="00394C86">
        <w:rPr>
          <w:color w:val="3C3C3C" w:themeColor="background2" w:themeShade="40"/>
          <w:lang w:val="en-AU"/>
        </w:rPr>
        <w:t>:</w:t>
      </w:r>
      <w:r w:rsidR="007C14E0" w:rsidRPr="00394C86">
        <w:rPr>
          <w:color w:val="3C3C3C" w:themeColor="background2" w:themeShade="40"/>
          <w:lang w:val="en-AU"/>
        </w:rPr>
        <w:t xml:space="preserve"> hazard and risk assessment</w:t>
      </w:r>
      <w:r w:rsidR="00110706" w:rsidRPr="00394C86">
        <w:rPr>
          <w:color w:val="3C3C3C" w:themeColor="background2" w:themeShade="40"/>
          <w:lang w:val="en-AU"/>
        </w:rPr>
        <w:t>s are</w:t>
      </w:r>
      <w:r w:rsidR="007C14E0" w:rsidRPr="00394C86">
        <w:rPr>
          <w:color w:val="3C3C3C" w:themeColor="background2" w:themeShade="40"/>
          <w:lang w:val="en-AU"/>
        </w:rPr>
        <w:t xml:space="preserve"> the starting point for </w:t>
      </w:r>
      <w:r w:rsidR="00FE36B2" w:rsidRPr="00394C86">
        <w:rPr>
          <w:color w:val="3C3C3C" w:themeColor="background2" w:themeShade="40"/>
          <w:lang w:val="en-AU"/>
        </w:rPr>
        <w:t>community-based</w:t>
      </w:r>
      <w:r w:rsidR="007C14E0" w:rsidRPr="00394C86">
        <w:rPr>
          <w:color w:val="3C3C3C" w:themeColor="background2" w:themeShade="40"/>
          <w:lang w:val="en-AU"/>
        </w:rPr>
        <w:t xml:space="preserve"> disaster preparedness, and risk assessments need to include those most at risk. </w:t>
      </w:r>
      <w:r w:rsidR="00275C10" w:rsidRPr="00394C86">
        <w:rPr>
          <w:color w:val="3C3C3C" w:themeColor="background2" w:themeShade="40"/>
          <w:lang w:val="en-AU"/>
        </w:rPr>
        <w:t xml:space="preserve">Furthermore, </w:t>
      </w:r>
      <w:r w:rsidR="007C14E0" w:rsidRPr="00394C86">
        <w:rPr>
          <w:color w:val="3C3C3C" w:themeColor="background2" w:themeShade="40"/>
          <w:lang w:val="en-AU"/>
        </w:rPr>
        <w:t>it is critical that DiDRR is seen as everyone’s business rather than being siloed or treated as an add</w:t>
      </w:r>
      <w:r w:rsidR="00275C10" w:rsidRPr="00394C86">
        <w:rPr>
          <w:color w:val="3C3C3C" w:themeColor="background2" w:themeShade="40"/>
          <w:lang w:val="en-AU"/>
        </w:rPr>
        <w:t>-</w:t>
      </w:r>
      <w:r w:rsidR="007C14E0" w:rsidRPr="00394C86">
        <w:rPr>
          <w:color w:val="3C3C3C" w:themeColor="background2" w:themeShade="40"/>
          <w:lang w:val="en-AU"/>
        </w:rPr>
        <w:t>on</w:t>
      </w:r>
      <w:r w:rsidR="005B086C" w:rsidRPr="00394C86">
        <w:rPr>
          <w:color w:val="3C3C3C" w:themeColor="background2" w:themeShade="40"/>
          <w:lang w:val="en-AU"/>
        </w:rPr>
        <w:t>.</w:t>
      </w:r>
      <w:r w:rsidR="00921E6E">
        <w:rPr>
          <w:color w:val="3C3C3C" w:themeColor="background2" w:themeShade="40"/>
          <w:lang w:val="en-AU"/>
        </w:rPr>
        <w:br/>
      </w:r>
      <w:r w:rsidR="00921E6E">
        <w:rPr>
          <w:color w:val="3C3C3C" w:themeColor="background2" w:themeShade="40"/>
          <w:lang w:val="en-AU"/>
        </w:rPr>
        <w:br/>
      </w:r>
      <w:r w:rsidR="0056712E" w:rsidRPr="00394C86">
        <w:rPr>
          <w:color w:val="3C3C3C" w:themeColor="background2" w:themeShade="40"/>
          <w:lang w:val="en-AU"/>
        </w:rPr>
        <w:t xml:space="preserve">Disaster </w:t>
      </w:r>
      <w:r w:rsidR="004112AB" w:rsidRPr="00394C86">
        <w:rPr>
          <w:color w:val="3C3C3C" w:themeColor="background2" w:themeShade="40"/>
          <w:lang w:val="en-AU"/>
        </w:rPr>
        <w:t xml:space="preserve">READY </w:t>
      </w:r>
      <w:r w:rsidR="0056712E" w:rsidRPr="00394C86">
        <w:rPr>
          <w:color w:val="3C3C3C" w:themeColor="background2" w:themeShade="40"/>
          <w:lang w:val="en-AU"/>
        </w:rPr>
        <w:t>promotes the participation of people with disabilities and their representatives in planning, implementation and monitoring. The design process actively included the perspectives of people with disabilities in each country design workshop. D</w:t>
      </w:r>
      <w:r w:rsidR="00F77855" w:rsidRPr="00394C86">
        <w:rPr>
          <w:color w:val="3C3C3C" w:themeColor="background2" w:themeShade="40"/>
          <w:lang w:val="en-AU"/>
        </w:rPr>
        <w:t>PO</w:t>
      </w:r>
      <w:r w:rsidR="0056712E" w:rsidRPr="00394C86">
        <w:rPr>
          <w:color w:val="3C3C3C" w:themeColor="background2" w:themeShade="40"/>
          <w:lang w:val="en-AU"/>
        </w:rPr>
        <w:t xml:space="preserve">s are represented in </w:t>
      </w:r>
      <w:r w:rsidR="009D0B2B" w:rsidRPr="00394C86">
        <w:rPr>
          <w:color w:val="3C3C3C" w:themeColor="background2" w:themeShade="40"/>
          <w:lang w:val="en-AU"/>
        </w:rPr>
        <w:t>Country Committee</w:t>
      </w:r>
      <w:r w:rsidR="0056712E" w:rsidRPr="00394C86">
        <w:rPr>
          <w:color w:val="3C3C3C" w:themeColor="background2" w:themeShade="40"/>
          <w:lang w:val="en-AU"/>
        </w:rPr>
        <w:t xml:space="preserve">s and the </w:t>
      </w:r>
      <w:r w:rsidR="004112AB" w:rsidRPr="00394C86">
        <w:rPr>
          <w:color w:val="3C3C3C" w:themeColor="background2" w:themeShade="40"/>
          <w:lang w:val="en-AU"/>
        </w:rPr>
        <w:t>S</w:t>
      </w:r>
      <w:r w:rsidR="0056712E" w:rsidRPr="00394C86">
        <w:rPr>
          <w:color w:val="3C3C3C" w:themeColor="background2" w:themeShade="40"/>
          <w:lang w:val="en-AU"/>
        </w:rPr>
        <w:t xml:space="preserve">teering </w:t>
      </w:r>
      <w:r w:rsidR="004112AB" w:rsidRPr="00394C86">
        <w:rPr>
          <w:color w:val="3C3C3C" w:themeColor="background2" w:themeShade="40"/>
          <w:lang w:val="en-AU"/>
        </w:rPr>
        <w:t>C</w:t>
      </w:r>
      <w:r w:rsidR="0056712E" w:rsidRPr="00394C86">
        <w:rPr>
          <w:color w:val="3C3C3C" w:themeColor="background2" w:themeShade="40"/>
          <w:lang w:val="en-AU"/>
        </w:rPr>
        <w:t>ommittee. Annual country and program</w:t>
      </w:r>
      <w:r w:rsidR="004112AB" w:rsidRPr="00394C86">
        <w:rPr>
          <w:color w:val="3C3C3C" w:themeColor="background2" w:themeShade="40"/>
          <w:lang w:val="en-AU"/>
        </w:rPr>
        <w:t>-</w:t>
      </w:r>
      <w:r w:rsidR="0056712E" w:rsidRPr="00394C86">
        <w:rPr>
          <w:color w:val="3C3C3C" w:themeColor="background2" w:themeShade="40"/>
          <w:lang w:val="en-AU"/>
        </w:rPr>
        <w:t xml:space="preserve">wide progress and future year priorities are determined by these committees. As </w:t>
      </w:r>
      <w:r w:rsidR="00F77855" w:rsidRPr="00394C86">
        <w:rPr>
          <w:color w:val="3C3C3C" w:themeColor="background2" w:themeShade="40"/>
          <w:lang w:val="en-AU"/>
        </w:rPr>
        <w:t>DPO</w:t>
      </w:r>
      <w:r w:rsidR="0056712E" w:rsidRPr="00394C86">
        <w:rPr>
          <w:color w:val="3C3C3C" w:themeColor="background2" w:themeShade="40"/>
          <w:lang w:val="en-AU"/>
        </w:rPr>
        <w:t xml:space="preserve">s are largely voluntary or underfunded organisations, </w:t>
      </w:r>
      <w:r w:rsidR="00F77855" w:rsidRPr="00394C86">
        <w:rPr>
          <w:color w:val="3C3C3C" w:themeColor="background2" w:themeShade="40"/>
          <w:lang w:val="en-AU"/>
        </w:rPr>
        <w:t>shared s</w:t>
      </w:r>
      <w:r w:rsidR="00BF1A40" w:rsidRPr="00394C86">
        <w:rPr>
          <w:color w:val="3C3C3C" w:themeColor="background2" w:themeShade="40"/>
          <w:lang w:val="en-AU"/>
        </w:rPr>
        <w:t>ervices</w:t>
      </w:r>
      <w:r w:rsidR="0056712E" w:rsidRPr="00394C86">
        <w:rPr>
          <w:color w:val="3C3C3C" w:themeColor="background2" w:themeShade="40"/>
          <w:lang w:val="en-AU"/>
        </w:rPr>
        <w:t xml:space="preserve"> funding includes support for </w:t>
      </w:r>
      <w:r w:rsidR="00F77855" w:rsidRPr="00394C86">
        <w:rPr>
          <w:color w:val="3C3C3C" w:themeColor="background2" w:themeShade="40"/>
          <w:lang w:val="en-AU"/>
        </w:rPr>
        <w:t>DPO</w:t>
      </w:r>
      <w:r w:rsidR="0056712E" w:rsidRPr="00394C86">
        <w:rPr>
          <w:color w:val="3C3C3C" w:themeColor="background2" w:themeShade="40"/>
          <w:lang w:val="en-AU"/>
        </w:rPr>
        <w:t xml:space="preserve">s to actively participate in Disaster READY. Three AHP NGO consortia include CBM and will support the Pacific Disability Forum (PDF) through CBM. </w:t>
      </w:r>
      <w:r w:rsidR="00DC4FDD" w:rsidRPr="00394C86">
        <w:rPr>
          <w:color w:val="3C3C3C" w:themeColor="background2" w:themeShade="40"/>
          <w:lang w:val="en-AU"/>
        </w:rPr>
        <w:t xml:space="preserve">These consortia will draw on technical advice from CBM in implementing activity plans and support the Pacific Disability Forum (PDF) through a regional approach implemented by CBM. </w:t>
      </w:r>
      <w:r w:rsidR="0056712E" w:rsidRPr="00394C86">
        <w:rPr>
          <w:color w:val="3C3C3C" w:themeColor="background2" w:themeShade="40"/>
          <w:lang w:val="en-AU"/>
        </w:rPr>
        <w:t xml:space="preserve">The </w:t>
      </w:r>
      <w:r w:rsidR="00DC4FDD" w:rsidRPr="00394C86">
        <w:rPr>
          <w:color w:val="3C3C3C" w:themeColor="background2" w:themeShade="40"/>
          <w:lang w:val="en-AU"/>
        </w:rPr>
        <w:t xml:space="preserve">regional </w:t>
      </w:r>
      <w:r w:rsidR="0056712E" w:rsidRPr="00394C86">
        <w:rPr>
          <w:color w:val="3C3C3C" w:themeColor="background2" w:themeShade="40"/>
          <w:lang w:val="en-AU"/>
        </w:rPr>
        <w:t xml:space="preserve">approach being taken is </w:t>
      </w:r>
      <w:r w:rsidR="0056712E" w:rsidRPr="00394C86">
        <w:rPr>
          <w:color w:val="3C3C3C" w:themeColor="background2" w:themeShade="40"/>
          <w:lang w:val="en-AU"/>
        </w:rPr>
        <w:lastRenderedPageBreak/>
        <w:t xml:space="preserve">for PDF is to build its own technical capacity and tools </w:t>
      </w:r>
      <w:r w:rsidR="00DC4FDD" w:rsidRPr="00394C86">
        <w:rPr>
          <w:color w:val="3C3C3C" w:themeColor="background2" w:themeShade="40"/>
          <w:lang w:val="en-AU"/>
        </w:rPr>
        <w:t>to implement the Pacific Disability Inclusive Preparedness for Response Strategy. This strategy includes capacity development of national DPOs who will work with AHP country stakeholders.</w:t>
      </w:r>
      <w:r w:rsidR="0056712E" w:rsidRPr="00394C86">
        <w:rPr>
          <w:color w:val="3C3C3C" w:themeColor="background2" w:themeShade="40"/>
          <w:lang w:val="en-AU"/>
        </w:rPr>
        <w:t xml:space="preserve"> Unlike gender</w:t>
      </w:r>
      <w:r w:rsidR="00F77855" w:rsidRPr="00394C86">
        <w:rPr>
          <w:color w:val="3C3C3C" w:themeColor="background2" w:themeShade="40"/>
          <w:lang w:val="en-AU"/>
        </w:rPr>
        <w:t>,</w:t>
      </w:r>
      <w:r w:rsidR="0056712E" w:rsidRPr="00394C86">
        <w:rPr>
          <w:color w:val="3C3C3C" w:themeColor="background2" w:themeShade="40"/>
          <w:lang w:val="en-AU"/>
        </w:rPr>
        <w:t xml:space="preserve"> there are few, if any, AHP NGOs with dedicated disability inclusion staff at country level and the demand on DPOs can be high. As it will take time for DPO capacity to build, AHP NGOs will also draw on technical support through CBM or other sources</w:t>
      </w:r>
      <w:r w:rsidR="00DC4FDD" w:rsidRPr="00394C86">
        <w:rPr>
          <w:color w:val="3C3C3C" w:themeColor="background2" w:themeShade="40"/>
          <w:lang w:val="en-AU"/>
        </w:rPr>
        <w:t xml:space="preserve">, while acknowledging that DPOs are recognised representatives of people with disabilities and </w:t>
      </w:r>
      <w:r w:rsidR="00FE07D6" w:rsidRPr="00394C86">
        <w:rPr>
          <w:color w:val="3C3C3C" w:themeColor="background2" w:themeShade="40"/>
          <w:lang w:val="en-AU"/>
        </w:rPr>
        <w:t>need to be actively engaged and supported</w:t>
      </w:r>
      <w:r w:rsidR="0056712E" w:rsidRPr="00394C86">
        <w:rPr>
          <w:color w:val="3C3C3C" w:themeColor="background2" w:themeShade="40"/>
          <w:lang w:val="en-AU"/>
        </w:rPr>
        <w:t xml:space="preserve">.  </w:t>
      </w:r>
      <w:r w:rsidR="00921E6E">
        <w:rPr>
          <w:color w:val="3C3C3C" w:themeColor="background2" w:themeShade="40"/>
          <w:lang w:val="en-AU"/>
        </w:rPr>
        <w:br/>
      </w:r>
      <w:r w:rsidR="00921E6E">
        <w:rPr>
          <w:color w:val="3C3C3C" w:themeColor="background2" w:themeShade="40"/>
          <w:lang w:val="en-AU"/>
        </w:rPr>
        <w:br/>
      </w:r>
      <w:r w:rsidR="00BE194B" w:rsidRPr="00394C86">
        <w:rPr>
          <w:color w:val="3C3C3C" w:themeColor="background2" w:themeShade="40"/>
          <w:lang w:val="en-AU"/>
        </w:rPr>
        <w:t>A</w:t>
      </w:r>
      <w:r w:rsidR="00677C20" w:rsidRPr="00394C86">
        <w:rPr>
          <w:color w:val="3C3C3C" w:themeColor="background2" w:themeShade="40"/>
          <w:lang w:val="en-AU"/>
        </w:rPr>
        <w:t xml:space="preserve">HP </w:t>
      </w:r>
      <w:r w:rsidR="00BE194B" w:rsidRPr="00394C86">
        <w:rPr>
          <w:color w:val="3C3C3C" w:themeColor="background2" w:themeShade="40"/>
          <w:lang w:val="en-AU"/>
        </w:rPr>
        <w:t xml:space="preserve">NGOs are committed to improving their practice in </w:t>
      </w:r>
      <w:r w:rsidR="007C14E0" w:rsidRPr="00394C86">
        <w:rPr>
          <w:color w:val="3C3C3C" w:themeColor="background2" w:themeShade="40"/>
          <w:lang w:val="en-AU"/>
        </w:rPr>
        <w:t>DiDRR</w:t>
      </w:r>
      <w:r w:rsidR="00BE194B" w:rsidRPr="00394C86">
        <w:rPr>
          <w:color w:val="3C3C3C" w:themeColor="background2" w:themeShade="40"/>
          <w:lang w:val="en-AU"/>
        </w:rPr>
        <w:t xml:space="preserve"> </w:t>
      </w:r>
      <w:r w:rsidR="00110706" w:rsidRPr="00394C86">
        <w:rPr>
          <w:color w:val="3C3C3C" w:themeColor="background2" w:themeShade="40"/>
          <w:lang w:val="en-AU"/>
        </w:rPr>
        <w:t xml:space="preserve">and all </w:t>
      </w:r>
      <w:r w:rsidR="00451291" w:rsidRPr="00394C86">
        <w:rPr>
          <w:color w:val="3C3C3C" w:themeColor="background2" w:themeShade="40"/>
          <w:lang w:val="en-AU"/>
        </w:rPr>
        <w:t>activity plan</w:t>
      </w:r>
      <w:r w:rsidR="00FB33AB" w:rsidRPr="00394C86">
        <w:rPr>
          <w:color w:val="3C3C3C" w:themeColor="background2" w:themeShade="40"/>
          <w:lang w:val="en-AU"/>
        </w:rPr>
        <w:t>s</w:t>
      </w:r>
      <w:r w:rsidR="00451291" w:rsidRPr="00394C86">
        <w:rPr>
          <w:color w:val="3C3C3C" w:themeColor="background2" w:themeShade="40"/>
          <w:lang w:val="en-AU"/>
        </w:rPr>
        <w:t xml:space="preserve"> </w:t>
      </w:r>
      <w:r w:rsidR="005B086C" w:rsidRPr="00394C86">
        <w:rPr>
          <w:color w:val="3C3C3C" w:themeColor="background2" w:themeShade="40"/>
          <w:lang w:val="en-AU"/>
        </w:rPr>
        <w:t xml:space="preserve">address disability inclusion. </w:t>
      </w:r>
      <w:r w:rsidR="00D17C90" w:rsidRPr="00394C86">
        <w:rPr>
          <w:color w:val="3C3C3C" w:themeColor="background2" w:themeShade="40"/>
          <w:lang w:val="en-AU"/>
        </w:rPr>
        <w:t xml:space="preserve">AHP NGOs were able to access DiDRR expertise to </w:t>
      </w:r>
      <w:r w:rsidR="00211C61" w:rsidRPr="00394C86">
        <w:rPr>
          <w:color w:val="3C3C3C" w:themeColor="background2" w:themeShade="40"/>
          <w:lang w:val="en-AU"/>
        </w:rPr>
        <w:t xml:space="preserve">help develop their </w:t>
      </w:r>
      <w:r w:rsidR="00451291" w:rsidRPr="00394C86">
        <w:rPr>
          <w:color w:val="3C3C3C" w:themeColor="background2" w:themeShade="40"/>
          <w:lang w:val="en-AU"/>
        </w:rPr>
        <w:t>activity plan</w:t>
      </w:r>
      <w:r w:rsidR="00FB33AB" w:rsidRPr="00394C86">
        <w:rPr>
          <w:color w:val="3C3C3C" w:themeColor="background2" w:themeShade="40"/>
          <w:lang w:val="en-AU"/>
        </w:rPr>
        <w:t>s</w:t>
      </w:r>
      <w:r w:rsidR="00211C61" w:rsidRPr="00394C86">
        <w:rPr>
          <w:color w:val="3C3C3C" w:themeColor="background2" w:themeShade="40"/>
          <w:lang w:val="en-AU"/>
        </w:rPr>
        <w:t xml:space="preserve">, and all </w:t>
      </w:r>
      <w:r w:rsidR="00451291" w:rsidRPr="00394C86">
        <w:rPr>
          <w:color w:val="3C3C3C" w:themeColor="background2" w:themeShade="40"/>
          <w:lang w:val="en-AU"/>
        </w:rPr>
        <w:t>activity plan</w:t>
      </w:r>
      <w:r w:rsidR="00FB33AB" w:rsidRPr="00394C86">
        <w:rPr>
          <w:color w:val="3C3C3C" w:themeColor="background2" w:themeShade="40"/>
          <w:lang w:val="en-AU"/>
        </w:rPr>
        <w:t xml:space="preserve">s </w:t>
      </w:r>
      <w:r w:rsidR="00211C61" w:rsidRPr="00394C86">
        <w:rPr>
          <w:color w:val="3C3C3C" w:themeColor="background2" w:themeShade="40"/>
          <w:lang w:val="en-AU"/>
        </w:rPr>
        <w:t xml:space="preserve">are being formally reviewed by </w:t>
      </w:r>
      <w:r w:rsidR="00F77855" w:rsidRPr="00394C86">
        <w:rPr>
          <w:color w:val="3C3C3C" w:themeColor="background2" w:themeShade="40"/>
          <w:lang w:val="en-AU"/>
        </w:rPr>
        <w:t xml:space="preserve">a </w:t>
      </w:r>
      <w:r w:rsidR="00211C61" w:rsidRPr="00394C86">
        <w:rPr>
          <w:color w:val="3C3C3C" w:themeColor="background2" w:themeShade="40"/>
          <w:lang w:val="en-AU"/>
        </w:rPr>
        <w:t>disability specialist.</w:t>
      </w:r>
      <w:r w:rsidR="00921E6E">
        <w:rPr>
          <w:color w:val="3C3C3C" w:themeColor="background2" w:themeShade="40"/>
          <w:lang w:val="en-AU"/>
        </w:rPr>
        <w:br/>
      </w:r>
      <w:r w:rsidR="00921E6E">
        <w:rPr>
          <w:color w:val="3C3C3C" w:themeColor="background2" w:themeShade="40"/>
          <w:lang w:val="en-AU"/>
        </w:rPr>
        <w:br/>
      </w:r>
      <w:r w:rsidR="00F77855" w:rsidRPr="00394C86">
        <w:rPr>
          <w:color w:val="3C3C3C" w:themeColor="background2" w:themeShade="40"/>
          <w:lang w:val="en-AU"/>
        </w:rPr>
        <w:t>Shared s</w:t>
      </w:r>
      <w:r w:rsidR="00BF1A40" w:rsidRPr="00394C86">
        <w:rPr>
          <w:color w:val="3C3C3C" w:themeColor="background2" w:themeShade="40"/>
          <w:lang w:val="en-AU"/>
        </w:rPr>
        <w:t>ervices</w:t>
      </w:r>
      <w:r w:rsidR="0056712E" w:rsidRPr="00394C86">
        <w:rPr>
          <w:color w:val="3C3C3C" w:themeColor="background2" w:themeShade="40"/>
          <w:lang w:val="en-AU"/>
        </w:rPr>
        <w:t xml:space="preserve"> will support NGOs to improve their practice </w:t>
      </w:r>
      <w:r w:rsidR="004112AB" w:rsidRPr="00394C86">
        <w:rPr>
          <w:color w:val="3C3C3C" w:themeColor="background2" w:themeShade="40"/>
          <w:lang w:val="en-AU"/>
        </w:rPr>
        <w:t xml:space="preserve">in relation to </w:t>
      </w:r>
      <w:r w:rsidR="0056712E" w:rsidRPr="00394C86">
        <w:rPr>
          <w:color w:val="3C3C3C" w:themeColor="background2" w:themeShade="40"/>
          <w:lang w:val="en-AU"/>
        </w:rPr>
        <w:t>disability inclusion. At each annual country review</w:t>
      </w:r>
      <w:r w:rsidR="004112AB" w:rsidRPr="00394C86">
        <w:rPr>
          <w:color w:val="3C3C3C" w:themeColor="background2" w:themeShade="40"/>
          <w:lang w:val="en-AU"/>
        </w:rPr>
        <w:t>,</w:t>
      </w:r>
      <w:r w:rsidR="0056712E" w:rsidRPr="00394C86">
        <w:rPr>
          <w:color w:val="3C3C3C" w:themeColor="background2" w:themeShade="40"/>
          <w:lang w:val="en-AU"/>
        </w:rPr>
        <w:t xml:space="preserve"> AHP NGOs (with assistance from the AHP SU) will assess progress against disability inclusion outcomes and engage in a process of continuous improvement.</w:t>
      </w:r>
      <w:r w:rsidR="00921E6E">
        <w:rPr>
          <w:color w:val="3C3C3C" w:themeColor="background2" w:themeShade="40"/>
          <w:lang w:val="en-AU"/>
        </w:rPr>
        <w:br/>
      </w:r>
    </w:p>
    <w:p w14:paraId="5D2F8C68" w14:textId="7718B176" w:rsidR="008B2140" w:rsidRPr="00394C86" w:rsidRDefault="008B2140" w:rsidP="00110706">
      <w:pPr>
        <w:pStyle w:val="Heading1"/>
        <w:rPr>
          <w:rFonts w:ascii="Calibri" w:hAnsi="Calibri" w:cs="Calibri"/>
          <w:lang w:val="en-AU"/>
        </w:rPr>
      </w:pPr>
      <w:bookmarkStart w:id="61" w:name="_Toc501451693"/>
      <w:r w:rsidRPr="00394C86">
        <w:rPr>
          <w:rFonts w:ascii="Calibri" w:hAnsi="Calibri" w:cs="Calibri"/>
          <w:lang w:val="en-AU"/>
        </w:rPr>
        <w:t>Risk Management Plan</w:t>
      </w:r>
      <w:bookmarkEnd w:id="61"/>
    </w:p>
    <w:p w14:paraId="4291F5D4" w14:textId="3D215313" w:rsidR="00BA1F87" w:rsidRPr="00394C86" w:rsidRDefault="00B44E62" w:rsidP="00E607E3">
      <w:pPr>
        <w:rPr>
          <w:color w:val="3C3C3C" w:themeColor="background2" w:themeShade="40"/>
          <w:lang w:val="en-AU"/>
        </w:rPr>
      </w:pPr>
      <w:r w:rsidRPr="00394C86">
        <w:rPr>
          <w:color w:val="3C3C3C" w:themeColor="background2" w:themeShade="40"/>
          <w:lang w:val="en-AU"/>
        </w:rPr>
        <w:t>Assessment, management</w:t>
      </w:r>
      <w:r w:rsidR="004112AB" w:rsidRPr="00394C86">
        <w:rPr>
          <w:color w:val="3C3C3C" w:themeColor="background2" w:themeShade="40"/>
          <w:lang w:val="en-AU"/>
        </w:rPr>
        <w:t xml:space="preserve"> </w:t>
      </w:r>
      <w:r w:rsidRPr="00394C86">
        <w:rPr>
          <w:color w:val="3C3C3C" w:themeColor="background2" w:themeShade="40"/>
          <w:lang w:val="en-AU"/>
        </w:rPr>
        <w:t xml:space="preserve">and reporting of program risks will be consistent with DFAT’s risk assessment framework. </w:t>
      </w:r>
      <w:r w:rsidR="00970139" w:rsidRPr="00394C86">
        <w:rPr>
          <w:color w:val="3C3C3C" w:themeColor="background2" w:themeShade="40"/>
          <w:lang w:val="en-AU"/>
        </w:rPr>
        <w:t xml:space="preserve">Overall program risks and </w:t>
      </w:r>
      <w:r w:rsidR="00677C20" w:rsidRPr="00394C86">
        <w:rPr>
          <w:color w:val="3C3C3C" w:themeColor="background2" w:themeShade="40"/>
          <w:lang w:val="en-AU"/>
        </w:rPr>
        <w:t>treatments</w:t>
      </w:r>
      <w:r w:rsidR="00970139" w:rsidRPr="00394C86">
        <w:rPr>
          <w:color w:val="3C3C3C" w:themeColor="background2" w:themeShade="40"/>
          <w:lang w:val="en-AU"/>
        </w:rPr>
        <w:t xml:space="preserve"> </w:t>
      </w:r>
      <w:r w:rsidR="00F9116E" w:rsidRPr="00394C86">
        <w:rPr>
          <w:color w:val="3C3C3C" w:themeColor="background2" w:themeShade="40"/>
          <w:lang w:val="en-AU"/>
        </w:rPr>
        <w:t>(</w:t>
      </w:r>
      <w:r w:rsidR="00960952" w:rsidRPr="00394C86">
        <w:rPr>
          <w:color w:val="3C3C3C" w:themeColor="background2" w:themeShade="40"/>
          <w:lang w:val="en-AU"/>
        </w:rPr>
        <w:t xml:space="preserve">see </w:t>
      </w:r>
      <w:r w:rsidR="00970139" w:rsidRPr="00394C86">
        <w:rPr>
          <w:color w:val="3C3C3C" w:themeColor="background2" w:themeShade="40"/>
          <w:lang w:val="en-AU"/>
        </w:rPr>
        <w:t xml:space="preserve">Annex </w:t>
      </w:r>
      <w:r w:rsidR="00AE7822" w:rsidRPr="00394C86">
        <w:rPr>
          <w:color w:val="3C3C3C" w:themeColor="background2" w:themeShade="40"/>
          <w:lang w:val="en-AU"/>
        </w:rPr>
        <w:t>11</w:t>
      </w:r>
      <w:r w:rsidR="004112AB" w:rsidRPr="00394C86">
        <w:rPr>
          <w:color w:val="3C3C3C" w:themeColor="background2" w:themeShade="40"/>
          <w:lang w:val="en-AU"/>
        </w:rPr>
        <w:t xml:space="preserve"> Risk Register</w:t>
      </w:r>
      <w:r w:rsidR="00F9116E" w:rsidRPr="00394C86">
        <w:rPr>
          <w:color w:val="3C3C3C" w:themeColor="background2" w:themeShade="40"/>
          <w:lang w:val="en-AU"/>
        </w:rPr>
        <w:t>) will be managed in the first instance by the AHP</w:t>
      </w:r>
      <w:r w:rsidR="006F4D7B" w:rsidRPr="00394C86">
        <w:rPr>
          <w:color w:val="3C3C3C" w:themeColor="background2" w:themeShade="40"/>
          <w:lang w:val="en-AU"/>
        </w:rPr>
        <w:t xml:space="preserve"> </w:t>
      </w:r>
      <w:r w:rsidR="00F9116E" w:rsidRPr="00394C86">
        <w:rPr>
          <w:color w:val="3C3C3C" w:themeColor="background2" w:themeShade="40"/>
          <w:lang w:val="en-AU"/>
        </w:rPr>
        <w:t xml:space="preserve">SU and </w:t>
      </w:r>
      <w:r w:rsidR="0056712E" w:rsidRPr="00394C86">
        <w:rPr>
          <w:color w:val="3C3C3C" w:themeColor="background2" w:themeShade="40"/>
          <w:lang w:val="en-AU"/>
        </w:rPr>
        <w:t>will</w:t>
      </w:r>
      <w:r w:rsidR="00F9116E" w:rsidRPr="00394C86">
        <w:rPr>
          <w:color w:val="3C3C3C" w:themeColor="background2" w:themeShade="40"/>
          <w:lang w:val="en-AU"/>
        </w:rPr>
        <w:t xml:space="preserve"> be escalated to DFAT and the Steering Committee where necessary. The </w:t>
      </w:r>
      <w:r w:rsidR="00877B38" w:rsidRPr="00394C86">
        <w:rPr>
          <w:color w:val="3C3C3C" w:themeColor="background2" w:themeShade="40"/>
          <w:lang w:val="en-AU"/>
        </w:rPr>
        <w:t>AHP SU will review high</w:t>
      </w:r>
      <w:r w:rsidR="004112AB" w:rsidRPr="00394C86">
        <w:rPr>
          <w:color w:val="3C3C3C" w:themeColor="background2" w:themeShade="40"/>
          <w:lang w:val="en-AU"/>
        </w:rPr>
        <w:t>-</w:t>
      </w:r>
      <w:r w:rsidR="00877B38" w:rsidRPr="00394C86">
        <w:rPr>
          <w:color w:val="3C3C3C" w:themeColor="background2" w:themeShade="40"/>
          <w:lang w:val="en-AU"/>
        </w:rPr>
        <w:t>level risk and changes in the risk profile quarterly</w:t>
      </w:r>
      <w:r w:rsidR="004112AB" w:rsidRPr="00394C86">
        <w:rPr>
          <w:color w:val="3C3C3C" w:themeColor="background2" w:themeShade="40"/>
          <w:lang w:val="en-AU"/>
        </w:rPr>
        <w:t>. T</w:t>
      </w:r>
      <w:r w:rsidR="00877B38" w:rsidRPr="00394C86">
        <w:rPr>
          <w:color w:val="3C3C3C" w:themeColor="background2" w:themeShade="40"/>
          <w:lang w:val="en-AU"/>
        </w:rPr>
        <w:t xml:space="preserve">he </w:t>
      </w:r>
      <w:r w:rsidR="00F77855" w:rsidRPr="00394C86">
        <w:rPr>
          <w:color w:val="3C3C3C" w:themeColor="background2" w:themeShade="40"/>
          <w:lang w:val="en-AU"/>
        </w:rPr>
        <w:t>Steering Committee</w:t>
      </w:r>
      <w:r w:rsidR="00877B38" w:rsidRPr="00394C86">
        <w:rPr>
          <w:color w:val="3C3C3C" w:themeColor="background2" w:themeShade="40"/>
          <w:lang w:val="en-AU"/>
        </w:rPr>
        <w:t xml:space="preserve"> will review the risk register annually </w:t>
      </w:r>
      <w:r w:rsidR="00F53FC9" w:rsidRPr="00394C86">
        <w:rPr>
          <w:color w:val="3C3C3C" w:themeColor="background2" w:themeShade="40"/>
          <w:lang w:val="en-AU"/>
        </w:rPr>
        <w:t>following</w:t>
      </w:r>
      <w:r w:rsidR="00C952F9" w:rsidRPr="00394C86">
        <w:rPr>
          <w:color w:val="3C3C3C" w:themeColor="background2" w:themeShade="40"/>
          <w:lang w:val="en-AU"/>
        </w:rPr>
        <w:t xml:space="preserve"> </w:t>
      </w:r>
      <w:r w:rsidR="008F559F" w:rsidRPr="00394C86">
        <w:rPr>
          <w:color w:val="3C3C3C" w:themeColor="background2" w:themeShade="40"/>
          <w:lang w:val="en-AU"/>
        </w:rPr>
        <w:t>country reviews.</w:t>
      </w:r>
      <w:r w:rsidR="00C938FA" w:rsidRPr="00394C86">
        <w:rPr>
          <w:color w:val="3C3C3C" w:themeColor="background2" w:themeShade="40"/>
          <w:lang w:val="en-AU"/>
        </w:rPr>
        <w:t xml:space="preserve"> </w:t>
      </w:r>
      <w:r w:rsidR="00877B38" w:rsidRPr="00394C86">
        <w:rPr>
          <w:color w:val="3C3C3C" w:themeColor="background2" w:themeShade="40"/>
          <w:lang w:val="en-AU"/>
        </w:rPr>
        <w:t xml:space="preserve">The AHP SU will escalate risks to DFAT and/or the </w:t>
      </w:r>
      <w:r w:rsidR="00F77855" w:rsidRPr="00394C86">
        <w:rPr>
          <w:color w:val="3C3C3C" w:themeColor="background2" w:themeShade="40"/>
          <w:lang w:val="en-AU"/>
        </w:rPr>
        <w:t>Steering Committee</w:t>
      </w:r>
      <w:r w:rsidR="00877B38" w:rsidRPr="00394C86">
        <w:rPr>
          <w:color w:val="3C3C3C" w:themeColor="background2" w:themeShade="40"/>
          <w:lang w:val="en-AU"/>
        </w:rPr>
        <w:t xml:space="preserve"> as required. </w:t>
      </w:r>
      <w:r w:rsidR="0027492B" w:rsidRPr="00394C86">
        <w:rPr>
          <w:color w:val="3C3C3C" w:themeColor="background2" w:themeShade="40"/>
          <w:lang w:val="en-AU"/>
        </w:rPr>
        <w:t>P</w:t>
      </w:r>
      <w:r w:rsidR="00C938FA" w:rsidRPr="00394C86">
        <w:rPr>
          <w:color w:val="3C3C3C" w:themeColor="background2" w:themeShade="40"/>
          <w:lang w:val="en-AU"/>
        </w:rPr>
        <w:t>rogram risks have been identified through the design process</w:t>
      </w:r>
      <w:r w:rsidR="004112AB" w:rsidRPr="00394C86">
        <w:rPr>
          <w:color w:val="3C3C3C" w:themeColor="background2" w:themeShade="40"/>
          <w:lang w:val="en-AU"/>
        </w:rPr>
        <w:t>,</w:t>
      </w:r>
      <w:r w:rsidR="00C938FA" w:rsidRPr="00394C86">
        <w:rPr>
          <w:color w:val="3C3C3C" w:themeColor="background2" w:themeShade="40"/>
          <w:lang w:val="en-AU"/>
        </w:rPr>
        <w:t xml:space="preserve"> including analysis of high</w:t>
      </w:r>
      <w:r w:rsidR="004112AB" w:rsidRPr="00394C86">
        <w:rPr>
          <w:color w:val="3C3C3C" w:themeColor="background2" w:themeShade="40"/>
          <w:lang w:val="en-AU"/>
        </w:rPr>
        <w:t>-</w:t>
      </w:r>
      <w:r w:rsidR="0027492B" w:rsidRPr="00394C86">
        <w:rPr>
          <w:color w:val="3C3C3C" w:themeColor="background2" w:themeShade="40"/>
          <w:lang w:val="en-AU"/>
        </w:rPr>
        <w:t>level</w:t>
      </w:r>
      <w:r w:rsidR="00C938FA" w:rsidRPr="00394C86">
        <w:rPr>
          <w:color w:val="3C3C3C" w:themeColor="background2" w:themeShade="40"/>
          <w:lang w:val="en-AU"/>
        </w:rPr>
        <w:t xml:space="preserve"> risks identified in country plans.</w:t>
      </w:r>
      <w:r w:rsidR="0056712E" w:rsidRPr="00394C86">
        <w:rPr>
          <w:color w:val="3C3C3C" w:themeColor="background2" w:themeShade="40"/>
          <w:lang w:val="en-AU"/>
        </w:rPr>
        <w:t xml:space="preserve"> </w:t>
      </w:r>
      <w:r w:rsidR="00AE5503" w:rsidRPr="00394C86">
        <w:rPr>
          <w:color w:val="3C3C3C" w:themeColor="background2" w:themeShade="40"/>
          <w:lang w:val="en-AU"/>
        </w:rPr>
        <w:t>DFAT will undertake annual Partner Performance Assessments and an AQC for this investment.</w:t>
      </w:r>
      <w:r w:rsidR="004112AB" w:rsidRPr="00394C86">
        <w:rPr>
          <w:color w:val="3C3C3C" w:themeColor="background2" w:themeShade="40"/>
          <w:lang w:val="en-AU"/>
        </w:rPr>
        <w:t xml:space="preserve"> </w:t>
      </w:r>
      <w:r w:rsidR="00921E6E">
        <w:rPr>
          <w:color w:val="3C3C3C" w:themeColor="background2" w:themeShade="40"/>
          <w:lang w:val="en-AU"/>
        </w:rPr>
        <w:br/>
      </w:r>
      <w:r w:rsidR="00921E6E">
        <w:rPr>
          <w:color w:val="3C3C3C" w:themeColor="background2" w:themeShade="40"/>
          <w:lang w:val="en-AU"/>
        </w:rPr>
        <w:br/>
      </w:r>
      <w:r w:rsidR="0056712E" w:rsidRPr="00394C86">
        <w:rPr>
          <w:color w:val="3C3C3C" w:themeColor="background2" w:themeShade="40"/>
          <w:lang w:val="en-AU"/>
        </w:rPr>
        <w:t>AHP NGOs were selected to implement AHP (including Disaster READY) through a competitive grants process. All AHP NGOs have undergone DFAT’s rigorous due diligence assessment and are accredited Australian NGO Cooperation Program agencies. They are required to comply with DFAT policies including Child Protection and Fraud policies</w:t>
      </w:r>
      <w:r w:rsidR="00294D82" w:rsidRPr="00394C86">
        <w:rPr>
          <w:color w:val="3C3C3C" w:themeColor="background2" w:themeShade="40"/>
          <w:lang w:val="en-AU"/>
        </w:rPr>
        <w:t>,</w:t>
      </w:r>
      <w:r w:rsidR="004112AB" w:rsidRPr="00394C86">
        <w:rPr>
          <w:color w:val="3C3C3C" w:themeColor="background2" w:themeShade="40"/>
          <w:lang w:val="en-AU"/>
        </w:rPr>
        <w:t xml:space="preserve"> and these requirements extend to </w:t>
      </w:r>
      <w:r w:rsidR="00294D82" w:rsidRPr="00394C86">
        <w:rPr>
          <w:color w:val="3C3C3C" w:themeColor="background2" w:themeShade="40"/>
          <w:lang w:val="en-AU"/>
        </w:rPr>
        <w:t>their implementing partners</w:t>
      </w:r>
      <w:r w:rsidR="0056712E" w:rsidRPr="00394C86">
        <w:rPr>
          <w:color w:val="3C3C3C" w:themeColor="background2" w:themeShade="40"/>
          <w:lang w:val="en-AU"/>
        </w:rPr>
        <w:t>.</w:t>
      </w:r>
      <w:r w:rsidR="0051517C" w:rsidRPr="00394C86">
        <w:rPr>
          <w:color w:val="3C3C3C" w:themeColor="background2" w:themeShade="40"/>
          <w:lang w:val="en-AU"/>
        </w:rPr>
        <w:t xml:space="preserve">  These “generic” risks and management plan</w:t>
      </w:r>
      <w:r w:rsidR="00CD3AB8" w:rsidRPr="00394C86">
        <w:rPr>
          <w:color w:val="3C3C3C" w:themeColor="background2" w:themeShade="40"/>
          <w:lang w:val="en-AU"/>
        </w:rPr>
        <w:t>s</w:t>
      </w:r>
      <w:r w:rsidR="0051517C" w:rsidRPr="00394C86">
        <w:rPr>
          <w:color w:val="3C3C3C" w:themeColor="background2" w:themeShade="40"/>
          <w:lang w:val="en-AU"/>
        </w:rPr>
        <w:t xml:space="preserve"> are set out in the AHP </w:t>
      </w:r>
      <w:r w:rsidR="00A15E69" w:rsidRPr="00394C86">
        <w:rPr>
          <w:color w:val="3C3C3C" w:themeColor="background2" w:themeShade="40"/>
          <w:lang w:val="en-AU"/>
        </w:rPr>
        <w:t>design</w:t>
      </w:r>
      <w:r w:rsidR="0051517C" w:rsidRPr="00394C86">
        <w:rPr>
          <w:color w:val="3C3C3C" w:themeColor="background2" w:themeShade="40"/>
          <w:lang w:val="en-AU"/>
        </w:rPr>
        <w:t xml:space="preserve"> document</w:t>
      </w:r>
      <w:r w:rsidR="00A15E69" w:rsidRPr="00394C86">
        <w:rPr>
          <w:color w:val="3C3C3C" w:themeColor="background2" w:themeShade="40"/>
          <w:lang w:val="en-AU"/>
        </w:rPr>
        <w:t xml:space="preserve"> risk register</w:t>
      </w:r>
      <w:r w:rsidR="00A15E69" w:rsidRPr="00394C86">
        <w:rPr>
          <w:rStyle w:val="FootnoteReference"/>
          <w:color w:val="3C3C3C" w:themeColor="background2" w:themeShade="40"/>
          <w:lang w:val="en-AU"/>
        </w:rPr>
        <w:footnoteReference w:id="59"/>
      </w:r>
      <w:r w:rsidR="0051517C" w:rsidRPr="00394C86">
        <w:rPr>
          <w:color w:val="3C3C3C" w:themeColor="background2" w:themeShade="40"/>
          <w:lang w:val="en-AU"/>
        </w:rPr>
        <w:t xml:space="preserve">, and </w:t>
      </w:r>
      <w:r w:rsidR="00DC3F82" w:rsidRPr="00394C86">
        <w:rPr>
          <w:color w:val="3C3C3C" w:themeColor="background2" w:themeShade="40"/>
          <w:lang w:val="en-AU"/>
        </w:rPr>
        <w:t>repeated in the risk register at Annex 11.</w:t>
      </w:r>
      <w:r w:rsidR="00921E6E">
        <w:rPr>
          <w:color w:val="3C3C3C" w:themeColor="background2" w:themeShade="40"/>
          <w:lang w:val="en-AU"/>
        </w:rPr>
        <w:br/>
      </w:r>
      <w:r w:rsidR="00921E6E">
        <w:rPr>
          <w:color w:val="3C3C3C" w:themeColor="background2" w:themeShade="40"/>
          <w:lang w:val="en-AU"/>
        </w:rPr>
        <w:br/>
      </w:r>
      <w:r w:rsidR="0062434D" w:rsidRPr="00394C86">
        <w:rPr>
          <w:color w:val="3C3C3C" w:themeColor="background2" w:themeShade="40"/>
          <w:lang w:val="en-AU"/>
        </w:rPr>
        <w:t>There are two key</w:t>
      </w:r>
      <w:r w:rsidR="00C952F9" w:rsidRPr="00394C86">
        <w:rPr>
          <w:color w:val="3C3C3C" w:themeColor="background2" w:themeShade="40"/>
          <w:lang w:val="en-AU"/>
        </w:rPr>
        <w:t xml:space="preserve"> program risks: </w:t>
      </w:r>
      <w:r w:rsidR="0062434D" w:rsidRPr="00394C86">
        <w:rPr>
          <w:color w:val="3C3C3C" w:themeColor="background2" w:themeShade="40"/>
          <w:lang w:val="en-AU"/>
        </w:rPr>
        <w:t>fragmentation</w:t>
      </w:r>
      <w:r w:rsidR="00C952F9" w:rsidRPr="00394C86">
        <w:rPr>
          <w:color w:val="3C3C3C" w:themeColor="background2" w:themeShade="40"/>
          <w:lang w:val="en-AU"/>
        </w:rPr>
        <w:t xml:space="preserve"> and lack of efficiency</w:t>
      </w:r>
      <w:r w:rsidR="0062434D" w:rsidRPr="00394C86">
        <w:rPr>
          <w:color w:val="3C3C3C" w:themeColor="background2" w:themeShade="40"/>
          <w:lang w:val="en-AU"/>
        </w:rPr>
        <w:t xml:space="preserve"> associated with the large number of AHP NGOs; </w:t>
      </w:r>
      <w:bookmarkStart w:id="62" w:name="OLE_LINK1"/>
      <w:r w:rsidR="0062434D" w:rsidRPr="00394C86">
        <w:rPr>
          <w:color w:val="3C3C3C" w:themeColor="background2" w:themeShade="40"/>
          <w:lang w:val="en-AU"/>
        </w:rPr>
        <w:t xml:space="preserve">and that support for communities and inclusion in preparedness is not translated into disaster response. </w:t>
      </w:r>
      <w:bookmarkEnd w:id="62"/>
      <w:r w:rsidR="0062434D" w:rsidRPr="00394C86">
        <w:rPr>
          <w:color w:val="3C3C3C" w:themeColor="background2" w:themeShade="40"/>
          <w:lang w:val="en-AU"/>
        </w:rPr>
        <w:t>The design and delivery mechanism are tailored to respond to these risks th</w:t>
      </w:r>
      <w:r w:rsidR="00C952F9" w:rsidRPr="00394C86">
        <w:rPr>
          <w:color w:val="3C3C3C" w:themeColor="background2" w:themeShade="40"/>
          <w:lang w:val="en-AU"/>
        </w:rPr>
        <w:t>r</w:t>
      </w:r>
      <w:r w:rsidR="0062434D" w:rsidRPr="00394C86">
        <w:rPr>
          <w:color w:val="3C3C3C" w:themeColor="background2" w:themeShade="40"/>
          <w:lang w:val="en-AU"/>
        </w:rPr>
        <w:t xml:space="preserve">ough geographic and thematic foci, and </w:t>
      </w:r>
      <w:r w:rsidR="00C952F9" w:rsidRPr="00394C86">
        <w:rPr>
          <w:color w:val="3C3C3C" w:themeColor="background2" w:themeShade="40"/>
          <w:lang w:val="en-AU"/>
        </w:rPr>
        <w:t xml:space="preserve">support for country </w:t>
      </w:r>
      <w:r w:rsidR="0062434D" w:rsidRPr="00394C86">
        <w:rPr>
          <w:color w:val="3C3C3C" w:themeColor="background2" w:themeShade="40"/>
          <w:lang w:val="en-AU"/>
        </w:rPr>
        <w:t xml:space="preserve">coordination and </w:t>
      </w:r>
      <w:r w:rsidR="00C952F9" w:rsidRPr="00394C86">
        <w:rPr>
          <w:color w:val="3C3C3C" w:themeColor="background2" w:themeShade="40"/>
          <w:lang w:val="en-AU"/>
        </w:rPr>
        <w:t xml:space="preserve">a delivery approach that focuses on assessing progress towards outcomes and </w:t>
      </w:r>
      <w:r w:rsidR="00E97769" w:rsidRPr="00394C86">
        <w:rPr>
          <w:color w:val="3C3C3C" w:themeColor="background2" w:themeShade="40"/>
          <w:lang w:val="en-AU"/>
        </w:rPr>
        <w:t>adapting the program in response</w:t>
      </w:r>
      <w:r w:rsidR="0062434D" w:rsidRPr="00394C86">
        <w:rPr>
          <w:color w:val="3C3C3C" w:themeColor="background2" w:themeShade="40"/>
          <w:lang w:val="en-AU"/>
        </w:rPr>
        <w:t xml:space="preserve">. </w:t>
      </w:r>
      <w:r w:rsidR="00921E6E">
        <w:rPr>
          <w:color w:val="3C3C3C" w:themeColor="background2" w:themeShade="40"/>
          <w:lang w:val="en-AU"/>
        </w:rPr>
        <w:br/>
      </w:r>
      <w:r w:rsidR="00921E6E">
        <w:rPr>
          <w:color w:val="3C3C3C" w:themeColor="background2" w:themeShade="40"/>
          <w:lang w:val="en-AU"/>
        </w:rPr>
        <w:lastRenderedPageBreak/>
        <w:br/>
      </w:r>
      <w:r w:rsidR="0062434D" w:rsidRPr="00394C86">
        <w:rPr>
          <w:color w:val="3C3C3C" w:themeColor="background2" w:themeShade="40"/>
          <w:lang w:val="en-AU"/>
        </w:rPr>
        <w:t>The program</w:t>
      </w:r>
      <w:r w:rsidR="00E97769" w:rsidRPr="00394C86">
        <w:rPr>
          <w:color w:val="3C3C3C" w:themeColor="background2" w:themeShade="40"/>
          <w:lang w:val="en-AU"/>
        </w:rPr>
        <w:t xml:space="preserve"> focuses on five countries rather than</w:t>
      </w:r>
      <w:r w:rsidR="0062434D" w:rsidRPr="00394C86">
        <w:rPr>
          <w:color w:val="3C3C3C" w:themeColor="background2" w:themeShade="40"/>
          <w:lang w:val="en-AU"/>
        </w:rPr>
        <w:t xml:space="preserve"> </w:t>
      </w:r>
      <w:r w:rsidR="00E97769" w:rsidRPr="00394C86">
        <w:rPr>
          <w:color w:val="3C3C3C" w:themeColor="background2" w:themeShade="40"/>
          <w:lang w:val="en-AU"/>
        </w:rPr>
        <w:t xml:space="preserve">the whole Pacific </w:t>
      </w:r>
      <w:r w:rsidR="00F50967" w:rsidRPr="00394C86">
        <w:rPr>
          <w:color w:val="3C3C3C" w:themeColor="background2" w:themeShade="40"/>
          <w:lang w:val="en-AU"/>
        </w:rPr>
        <w:t xml:space="preserve">region </w:t>
      </w:r>
      <w:r w:rsidR="00E97769" w:rsidRPr="00394C86">
        <w:rPr>
          <w:color w:val="3C3C3C" w:themeColor="background2" w:themeShade="40"/>
          <w:lang w:val="en-AU"/>
        </w:rPr>
        <w:t>so that resources can be concentrated and coordination built between NGOs</w:t>
      </w:r>
      <w:r w:rsidR="0062434D" w:rsidRPr="00394C86">
        <w:rPr>
          <w:color w:val="3C3C3C" w:themeColor="background2" w:themeShade="40"/>
          <w:lang w:val="en-AU"/>
        </w:rPr>
        <w:t xml:space="preserve">. The program also has a thematic </w:t>
      </w:r>
      <w:r w:rsidR="00E97769" w:rsidRPr="00394C86">
        <w:rPr>
          <w:color w:val="3C3C3C" w:themeColor="background2" w:themeShade="40"/>
          <w:lang w:val="en-AU"/>
        </w:rPr>
        <w:t xml:space="preserve">focus on disaster preparedness </w:t>
      </w:r>
      <w:r w:rsidR="0062434D" w:rsidRPr="00394C86">
        <w:rPr>
          <w:color w:val="3C3C3C" w:themeColor="background2" w:themeShade="40"/>
          <w:lang w:val="en-AU"/>
        </w:rPr>
        <w:t>rathe</w:t>
      </w:r>
      <w:r w:rsidR="00E97769" w:rsidRPr="00394C86">
        <w:rPr>
          <w:color w:val="3C3C3C" w:themeColor="background2" w:themeShade="40"/>
          <w:lang w:val="en-AU"/>
        </w:rPr>
        <w:t>r than the whole disaster cycle</w:t>
      </w:r>
      <w:r w:rsidR="0062434D" w:rsidRPr="00394C86">
        <w:rPr>
          <w:color w:val="3C3C3C" w:themeColor="background2" w:themeShade="40"/>
          <w:lang w:val="en-AU"/>
        </w:rPr>
        <w:t xml:space="preserve">.  </w:t>
      </w:r>
      <w:r w:rsidR="00960952" w:rsidRPr="00394C86">
        <w:rPr>
          <w:color w:val="3C3C3C" w:themeColor="background2" w:themeShade="40"/>
          <w:lang w:val="en-AU"/>
        </w:rPr>
        <w:t>E</w:t>
      </w:r>
      <w:r w:rsidR="00E97769" w:rsidRPr="00394C86">
        <w:rPr>
          <w:color w:val="3C3C3C" w:themeColor="background2" w:themeShade="40"/>
          <w:lang w:val="en-AU"/>
        </w:rPr>
        <w:t xml:space="preserve">ngagement by DFAT </w:t>
      </w:r>
      <w:r w:rsidR="00CD3AB8" w:rsidRPr="00394C86">
        <w:rPr>
          <w:color w:val="3C3C3C" w:themeColor="background2" w:themeShade="40"/>
          <w:lang w:val="en-AU"/>
        </w:rPr>
        <w:t>P</w:t>
      </w:r>
      <w:r w:rsidR="00E97769" w:rsidRPr="00394C86">
        <w:rPr>
          <w:color w:val="3C3C3C" w:themeColor="background2" w:themeShade="40"/>
          <w:lang w:val="en-AU"/>
        </w:rPr>
        <w:t>ost</w:t>
      </w:r>
      <w:r w:rsidR="00960952" w:rsidRPr="00394C86">
        <w:rPr>
          <w:color w:val="3C3C3C" w:themeColor="background2" w:themeShade="40"/>
          <w:lang w:val="en-AU"/>
        </w:rPr>
        <w:t xml:space="preserve">s </w:t>
      </w:r>
      <w:r w:rsidR="0027492B" w:rsidRPr="00394C86">
        <w:rPr>
          <w:color w:val="3C3C3C" w:themeColor="background2" w:themeShade="40"/>
          <w:lang w:val="en-AU"/>
        </w:rPr>
        <w:t xml:space="preserve">and partner governments </w:t>
      </w:r>
      <w:r w:rsidR="00960952" w:rsidRPr="00394C86">
        <w:rPr>
          <w:color w:val="3C3C3C" w:themeColor="background2" w:themeShade="40"/>
          <w:lang w:val="en-AU"/>
        </w:rPr>
        <w:t xml:space="preserve">through country planning and review </w:t>
      </w:r>
      <w:r w:rsidR="0062434D" w:rsidRPr="00394C86">
        <w:rPr>
          <w:color w:val="3C3C3C" w:themeColor="background2" w:themeShade="40"/>
          <w:lang w:val="en-AU"/>
        </w:rPr>
        <w:t>reduce</w:t>
      </w:r>
      <w:r w:rsidR="00E97769" w:rsidRPr="00394C86">
        <w:rPr>
          <w:color w:val="3C3C3C" w:themeColor="background2" w:themeShade="40"/>
          <w:lang w:val="en-AU"/>
        </w:rPr>
        <w:t>s</w:t>
      </w:r>
      <w:r w:rsidR="0062434D" w:rsidRPr="00394C86">
        <w:rPr>
          <w:color w:val="3C3C3C" w:themeColor="background2" w:themeShade="40"/>
          <w:lang w:val="en-AU"/>
        </w:rPr>
        <w:t xml:space="preserve"> the risk of duplication. Annual </w:t>
      </w:r>
      <w:r w:rsidR="00E97769" w:rsidRPr="00394C86">
        <w:rPr>
          <w:color w:val="3C3C3C" w:themeColor="background2" w:themeShade="40"/>
          <w:lang w:val="en-AU"/>
        </w:rPr>
        <w:t xml:space="preserve">country reviews </w:t>
      </w:r>
      <w:r w:rsidR="00960952" w:rsidRPr="00394C86">
        <w:rPr>
          <w:color w:val="3C3C3C" w:themeColor="background2" w:themeShade="40"/>
          <w:lang w:val="en-AU"/>
        </w:rPr>
        <w:t>also f</w:t>
      </w:r>
      <w:r w:rsidR="0062434D" w:rsidRPr="00394C86">
        <w:rPr>
          <w:color w:val="3C3C3C" w:themeColor="background2" w:themeShade="40"/>
          <w:lang w:val="en-AU"/>
        </w:rPr>
        <w:t xml:space="preserve">acilitate a strategic approach </w:t>
      </w:r>
      <w:r w:rsidR="00CD3AB8" w:rsidRPr="00394C86">
        <w:rPr>
          <w:color w:val="3C3C3C" w:themeColor="background2" w:themeShade="40"/>
          <w:lang w:val="en-AU"/>
        </w:rPr>
        <w:t xml:space="preserve">by which </w:t>
      </w:r>
      <w:r w:rsidR="0062434D" w:rsidRPr="00394C86">
        <w:rPr>
          <w:color w:val="3C3C3C" w:themeColor="background2" w:themeShade="40"/>
          <w:lang w:val="en-AU"/>
        </w:rPr>
        <w:t>partners collectively assess progress</w:t>
      </w:r>
      <w:r w:rsidR="00960952" w:rsidRPr="00394C86">
        <w:rPr>
          <w:color w:val="3C3C3C" w:themeColor="background2" w:themeShade="40"/>
          <w:lang w:val="en-AU"/>
        </w:rPr>
        <w:t xml:space="preserve"> against program outcomes</w:t>
      </w:r>
      <w:r w:rsidR="0062434D" w:rsidRPr="00394C86">
        <w:rPr>
          <w:color w:val="3C3C3C" w:themeColor="background2" w:themeShade="40"/>
          <w:lang w:val="en-AU"/>
        </w:rPr>
        <w:t xml:space="preserve">, challenges and changes in the context, and </w:t>
      </w:r>
      <w:r w:rsidR="00CD3AB8" w:rsidRPr="00394C86">
        <w:rPr>
          <w:color w:val="3C3C3C" w:themeColor="background2" w:themeShade="40"/>
          <w:lang w:val="en-AU"/>
        </w:rPr>
        <w:t xml:space="preserve">determine </w:t>
      </w:r>
      <w:r w:rsidR="0062434D" w:rsidRPr="00394C86">
        <w:rPr>
          <w:color w:val="3C3C3C" w:themeColor="background2" w:themeShade="40"/>
          <w:lang w:val="en-AU"/>
        </w:rPr>
        <w:t xml:space="preserve">how to adapt </w:t>
      </w:r>
      <w:r w:rsidR="005900A1" w:rsidRPr="00394C86">
        <w:rPr>
          <w:color w:val="3C3C3C" w:themeColor="background2" w:themeShade="40"/>
          <w:lang w:val="en-AU"/>
        </w:rPr>
        <w:t>to these</w:t>
      </w:r>
      <w:r w:rsidR="0062434D" w:rsidRPr="00394C86">
        <w:rPr>
          <w:color w:val="3C3C3C" w:themeColor="background2" w:themeShade="40"/>
          <w:lang w:val="en-AU"/>
        </w:rPr>
        <w:t>. When disasters do occur during the program period</w:t>
      </w:r>
      <w:r w:rsidR="00CD3AB8" w:rsidRPr="00394C86">
        <w:rPr>
          <w:color w:val="3C3C3C" w:themeColor="background2" w:themeShade="40"/>
          <w:lang w:val="en-AU"/>
        </w:rPr>
        <w:t>,</w:t>
      </w:r>
      <w:r w:rsidR="0062434D" w:rsidRPr="00394C86">
        <w:rPr>
          <w:color w:val="3C3C3C" w:themeColor="background2" w:themeShade="40"/>
          <w:lang w:val="en-AU"/>
        </w:rPr>
        <w:t xml:space="preserve"> partners will assess the extent to which program activities have influenced disaster responses</w:t>
      </w:r>
      <w:r w:rsidR="00E97769" w:rsidRPr="00394C86">
        <w:rPr>
          <w:color w:val="3C3C3C" w:themeColor="background2" w:themeShade="40"/>
          <w:lang w:val="en-AU"/>
        </w:rPr>
        <w:t xml:space="preserve">, and there is opportunity to conduct evaluations of </w:t>
      </w:r>
      <w:r w:rsidR="00AE5503" w:rsidRPr="00394C86">
        <w:rPr>
          <w:color w:val="3C3C3C" w:themeColor="background2" w:themeShade="40"/>
          <w:lang w:val="en-AU"/>
        </w:rPr>
        <w:t xml:space="preserve">the program through a response </w:t>
      </w:r>
      <w:r w:rsidR="00E97769" w:rsidRPr="00394C86">
        <w:rPr>
          <w:color w:val="3C3C3C" w:themeColor="background2" w:themeShade="40"/>
          <w:lang w:val="en-AU"/>
        </w:rPr>
        <w:t>(see Monitoring and Evaluation section)</w:t>
      </w:r>
      <w:r w:rsidR="0062434D" w:rsidRPr="00394C86">
        <w:rPr>
          <w:color w:val="3C3C3C" w:themeColor="background2" w:themeShade="40"/>
          <w:lang w:val="en-AU"/>
        </w:rPr>
        <w:t>. These l</w:t>
      </w:r>
      <w:r w:rsidR="00E97769" w:rsidRPr="00394C86">
        <w:rPr>
          <w:color w:val="3C3C3C" w:themeColor="background2" w:themeShade="40"/>
          <w:lang w:val="en-AU"/>
        </w:rPr>
        <w:t xml:space="preserve">earning opportunities will </w:t>
      </w:r>
      <w:r w:rsidR="0062434D" w:rsidRPr="00394C86">
        <w:rPr>
          <w:color w:val="3C3C3C" w:themeColor="background2" w:themeShade="40"/>
          <w:lang w:val="en-AU"/>
        </w:rPr>
        <w:t>be used to adapt programming and provide evidence for DFAT and AHP NGO</w:t>
      </w:r>
      <w:r w:rsidR="00E97769" w:rsidRPr="00394C86">
        <w:rPr>
          <w:color w:val="3C3C3C" w:themeColor="background2" w:themeShade="40"/>
          <w:lang w:val="en-AU"/>
        </w:rPr>
        <w:t xml:space="preserve"> policy advocacy so that responses are more inclusive and responsive to community needs.</w:t>
      </w:r>
      <w:r w:rsidR="00921E6E">
        <w:rPr>
          <w:color w:val="3C3C3C" w:themeColor="background2" w:themeShade="40"/>
          <w:lang w:val="en-AU"/>
        </w:rPr>
        <w:br/>
      </w:r>
      <w:r w:rsidR="00921E6E">
        <w:rPr>
          <w:color w:val="3C3C3C" w:themeColor="background2" w:themeShade="40"/>
          <w:lang w:val="en-AU"/>
        </w:rPr>
        <w:br/>
      </w:r>
      <w:r w:rsidR="00970139" w:rsidRPr="00394C86">
        <w:rPr>
          <w:color w:val="3C3C3C" w:themeColor="background2" w:themeShade="40"/>
          <w:lang w:val="en-AU"/>
        </w:rPr>
        <w:t xml:space="preserve">Risks at country level are included in </w:t>
      </w:r>
      <w:r w:rsidR="0012126F" w:rsidRPr="00394C86">
        <w:rPr>
          <w:color w:val="3C3C3C" w:themeColor="background2" w:themeShade="40"/>
          <w:lang w:val="en-AU"/>
        </w:rPr>
        <w:t>c</w:t>
      </w:r>
      <w:r w:rsidR="00970139" w:rsidRPr="00394C86">
        <w:rPr>
          <w:color w:val="3C3C3C" w:themeColor="background2" w:themeShade="40"/>
          <w:lang w:val="en-AU"/>
        </w:rPr>
        <w:t xml:space="preserve">ountry </w:t>
      </w:r>
      <w:r w:rsidR="0012126F" w:rsidRPr="00394C86">
        <w:rPr>
          <w:color w:val="3C3C3C" w:themeColor="background2" w:themeShade="40"/>
          <w:lang w:val="en-AU"/>
        </w:rPr>
        <w:t>p</w:t>
      </w:r>
      <w:r w:rsidR="00970139" w:rsidRPr="00394C86">
        <w:rPr>
          <w:color w:val="3C3C3C" w:themeColor="background2" w:themeShade="40"/>
          <w:lang w:val="en-AU"/>
        </w:rPr>
        <w:t>lan</w:t>
      </w:r>
      <w:r w:rsidR="0012126F" w:rsidRPr="00394C86">
        <w:rPr>
          <w:color w:val="3C3C3C" w:themeColor="background2" w:themeShade="40"/>
          <w:lang w:val="en-AU"/>
        </w:rPr>
        <w:t>s</w:t>
      </w:r>
      <w:r w:rsidR="00AD1428" w:rsidRPr="00394C86">
        <w:rPr>
          <w:color w:val="3C3C3C" w:themeColor="background2" w:themeShade="40"/>
          <w:lang w:val="en-AU"/>
        </w:rPr>
        <w:t xml:space="preserve"> </w:t>
      </w:r>
      <w:r w:rsidR="001930A5" w:rsidRPr="00394C86">
        <w:rPr>
          <w:color w:val="3C3C3C" w:themeColor="background2" w:themeShade="40"/>
          <w:lang w:val="en-AU"/>
        </w:rPr>
        <w:t>(</w:t>
      </w:r>
      <w:r w:rsidR="00AD1428" w:rsidRPr="00394C86">
        <w:rPr>
          <w:color w:val="3C3C3C" w:themeColor="background2" w:themeShade="40"/>
          <w:lang w:val="en-AU"/>
        </w:rPr>
        <w:t>using a standard template</w:t>
      </w:r>
      <w:r w:rsidR="001930A5" w:rsidRPr="00394C86">
        <w:rPr>
          <w:color w:val="3C3C3C" w:themeColor="background2" w:themeShade="40"/>
          <w:lang w:val="en-AU"/>
        </w:rPr>
        <w:t>)</w:t>
      </w:r>
      <w:r w:rsidR="00970139" w:rsidRPr="00394C86">
        <w:rPr>
          <w:color w:val="3C3C3C" w:themeColor="background2" w:themeShade="40"/>
          <w:lang w:val="en-AU"/>
        </w:rPr>
        <w:t xml:space="preserve"> and </w:t>
      </w:r>
      <w:r w:rsidR="007A2A74" w:rsidRPr="00394C86">
        <w:rPr>
          <w:color w:val="3C3C3C" w:themeColor="background2" w:themeShade="40"/>
          <w:lang w:val="en-AU"/>
        </w:rPr>
        <w:t xml:space="preserve">will </w:t>
      </w:r>
      <w:r w:rsidR="00970139" w:rsidRPr="00394C86">
        <w:rPr>
          <w:color w:val="3C3C3C" w:themeColor="background2" w:themeShade="40"/>
          <w:lang w:val="en-AU"/>
        </w:rPr>
        <w:t xml:space="preserve">be </w:t>
      </w:r>
      <w:r w:rsidR="001930A5" w:rsidRPr="00394C86">
        <w:rPr>
          <w:color w:val="3C3C3C" w:themeColor="background2" w:themeShade="40"/>
          <w:lang w:val="en-AU"/>
        </w:rPr>
        <w:t xml:space="preserve">monitored and </w:t>
      </w:r>
      <w:r w:rsidR="00970139" w:rsidRPr="00394C86">
        <w:rPr>
          <w:color w:val="3C3C3C" w:themeColor="background2" w:themeShade="40"/>
          <w:lang w:val="en-AU"/>
        </w:rPr>
        <w:t xml:space="preserve">managed by </w:t>
      </w:r>
      <w:r w:rsidR="009D0B2B" w:rsidRPr="00394C86">
        <w:rPr>
          <w:color w:val="3C3C3C" w:themeColor="background2" w:themeShade="40"/>
          <w:lang w:val="en-AU"/>
        </w:rPr>
        <w:t>Country Committee</w:t>
      </w:r>
      <w:r w:rsidR="00F9116E" w:rsidRPr="00394C86">
        <w:rPr>
          <w:color w:val="3C3C3C" w:themeColor="background2" w:themeShade="40"/>
          <w:lang w:val="en-AU"/>
        </w:rPr>
        <w:t>s</w:t>
      </w:r>
      <w:r w:rsidR="001930A5" w:rsidRPr="00394C86">
        <w:rPr>
          <w:color w:val="3C3C3C" w:themeColor="background2" w:themeShade="40"/>
          <w:lang w:val="en-AU"/>
        </w:rPr>
        <w:t xml:space="preserve"> who will meet quarterly</w:t>
      </w:r>
      <w:r w:rsidR="00F9116E" w:rsidRPr="00394C86">
        <w:rPr>
          <w:color w:val="3C3C3C" w:themeColor="background2" w:themeShade="40"/>
          <w:lang w:val="en-AU"/>
        </w:rPr>
        <w:t xml:space="preserve">. </w:t>
      </w:r>
      <w:r w:rsidR="0012126F" w:rsidRPr="00394C86">
        <w:rPr>
          <w:color w:val="3C3C3C" w:themeColor="background2" w:themeShade="40"/>
          <w:lang w:val="en-AU"/>
        </w:rPr>
        <w:t>The</w:t>
      </w:r>
      <w:r w:rsidR="00F9116E" w:rsidRPr="00394C86">
        <w:rPr>
          <w:color w:val="3C3C3C" w:themeColor="background2" w:themeShade="40"/>
          <w:lang w:val="en-AU"/>
        </w:rPr>
        <w:t xml:space="preserve"> risk</w:t>
      </w:r>
      <w:r w:rsidR="001930A5" w:rsidRPr="00394C86">
        <w:rPr>
          <w:color w:val="3C3C3C" w:themeColor="background2" w:themeShade="40"/>
          <w:lang w:val="en-AU"/>
        </w:rPr>
        <w:t xml:space="preserve"> register</w:t>
      </w:r>
      <w:r w:rsidR="00F9116E" w:rsidRPr="00394C86">
        <w:rPr>
          <w:color w:val="3C3C3C" w:themeColor="background2" w:themeShade="40"/>
          <w:lang w:val="en-AU"/>
        </w:rPr>
        <w:t xml:space="preserve"> will </w:t>
      </w:r>
      <w:r w:rsidR="001930A5" w:rsidRPr="00394C86">
        <w:rPr>
          <w:color w:val="3C3C3C" w:themeColor="background2" w:themeShade="40"/>
          <w:lang w:val="en-AU"/>
        </w:rPr>
        <w:t xml:space="preserve">be </w:t>
      </w:r>
      <w:r w:rsidR="00F9116E" w:rsidRPr="00394C86">
        <w:rPr>
          <w:color w:val="3C3C3C" w:themeColor="background2" w:themeShade="40"/>
          <w:lang w:val="en-AU"/>
        </w:rPr>
        <w:t>updated during annual country reviews with the support of AHP</w:t>
      </w:r>
      <w:r w:rsidR="006F4D7B" w:rsidRPr="00394C86">
        <w:rPr>
          <w:color w:val="3C3C3C" w:themeColor="background2" w:themeShade="40"/>
          <w:lang w:val="en-AU"/>
        </w:rPr>
        <w:t xml:space="preserve"> </w:t>
      </w:r>
      <w:r w:rsidR="00F9116E" w:rsidRPr="00394C86">
        <w:rPr>
          <w:color w:val="3C3C3C" w:themeColor="background2" w:themeShade="40"/>
          <w:lang w:val="en-AU"/>
        </w:rPr>
        <w:t>SU</w:t>
      </w:r>
      <w:r w:rsidR="00970139" w:rsidRPr="00394C86">
        <w:rPr>
          <w:color w:val="3C3C3C" w:themeColor="background2" w:themeShade="40"/>
          <w:lang w:val="en-AU"/>
        </w:rPr>
        <w:t>.</w:t>
      </w:r>
      <w:r w:rsidR="00F9116E" w:rsidRPr="00394C86">
        <w:rPr>
          <w:color w:val="3C3C3C" w:themeColor="background2" w:themeShade="40"/>
          <w:lang w:val="en-AU"/>
        </w:rPr>
        <w:t xml:space="preserve"> </w:t>
      </w:r>
      <w:r w:rsidR="00970139" w:rsidRPr="00394C86">
        <w:rPr>
          <w:color w:val="3C3C3C" w:themeColor="background2" w:themeShade="40"/>
          <w:lang w:val="en-AU"/>
        </w:rPr>
        <w:t xml:space="preserve">Risks associated with AHP NGO </w:t>
      </w:r>
      <w:r w:rsidR="00451291" w:rsidRPr="00394C86">
        <w:rPr>
          <w:color w:val="3C3C3C" w:themeColor="background2" w:themeShade="40"/>
          <w:lang w:val="en-AU"/>
        </w:rPr>
        <w:t>activity plan</w:t>
      </w:r>
      <w:r w:rsidR="00FB33AB" w:rsidRPr="00394C86">
        <w:rPr>
          <w:color w:val="3C3C3C" w:themeColor="background2" w:themeShade="40"/>
          <w:lang w:val="en-AU"/>
        </w:rPr>
        <w:t>s</w:t>
      </w:r>
      <w:r w:rsidR="00451291" w:rsidRPr="00394C86">
        <w:rPr>
          <w:color w:val="3C3C3C" w:themeColor="background2" w:themeShade="40"/>
          <w:lang w:val="en-AU"/>
        </w:rPr>
        <w:t xml:space="preserve"> </w:t>
      </w:r>
      <w:r w:rsidR="00970139" w:rsidRPr="00394C86">
        <w:rPr>
          <w:color w:val="3C3C3C" w:themeColor="background2" w:themeShade="40"/>
          <w:lang w:val="en-AU"/>
        </w:rPr>
        <w:t xml:space="preserve">are included in </w:t>
      </w:r>
      <w:r w:rsidR="00451291" w:rsidRPr="00394C86">
        <w:rPr>
          <w:color w:val="3C3C3C" w:themeColor="background2" w:themeShade="40"/>
          <w:lang w:val="en-AU"/>
        </w:rPr>
        <w:t>activity plan</w:t>
      </w:r>
      <w:r w:rsidR="001930A5" w:rsidRPr="00394C86">
        <w:rPr>
          <w:color w:val="3C3C3C" w:themeColor="background2" w:themeShade="40"/>
          <w:lang w:val="en-AU"/>
        </w:rPr>
        <w:t>s (and use a standard template)</w:t>
      </w:r>
      <w:r w:rsidR="00970139" w:rsidRPr="00394C86">
        <w:rPr>
          <w:color w:val="3C3C3C" w:themeColor="background2" w:themeShade="40"/>
          <w:lang w:val="en-AU"/>
        </w:rPr>
        <w:t xml:space="preserve"> and are managed by </w:t>
      </w:r>
      <w:r w:rsidR="00F50967" w:rsidRPr="00394C86">
        <w:rPr>
          <w:color w:val="3C3C3C" w:themeColor="background2" w:themeShade="40"/>
          <w:lang w:val="en-AU"/>
        </w:rPr>
        <w:t xml:space="preserve">individual </w:t>
      </w:r>
      <w:r w:rsidR="00970139" w:rsidRPr="00394C86">
        <w:rPr>
          <w:color w:val="3C3C3C" w:themeColor="background2" w:themeShade="40"/>
          <w:lang w:val="en-AU"/>
        </w:rPr>
        <w:t>AHP NGO</w:t>
      </w:r>
      <w:r w:rsidR="00F50967" w:rsidRPr="00394C86">
        <w:rPr>
          <w:color w:val="3C3C3C" w:themeColor="background2" w:themeShade="40"/>
          <w:lang w:val="en-AU"/>
        </w:rPr>
        <w:t>s</w:t>
      </w:r>
      <w:r w:rsidR="00970139" w:rsidRPr="00394C86">
        <w:rPr>
          <w:color w:val="3C3C3C" w:themeColor="background2" w:themeShade="40"/>
          <w:lang w:val="en-AU"/>
        </w:rPr>
        <w:t xml:space="preserve">. </w:t>
      </w:r>
      <w:r w:rsidR="00921E6E">
        <w:rPr>
          <w:color w:val="3C3C3C" w:themeColor="background2" w:themeShade="40"/>
          <w:lang w:val="en-AU"/>
        </w:rPr>
        <w:br/>
      </w:r>
    </w:p>
    <w:p w14:paraId="6575E680" w14:textId="2201329D" w:rsidR="008B2140" w:rsidRPr="00394C86" w:rsidRDefault="00970139" w:rsidP="00110706">
      <w:pPr>
        <w:pStyle w:val="Heading1"/>
        <w:rPr>
          <w:rFonts w:ascii="Calibri" w:hAnsi="Calibri" w:cs="Calibri"/>
          <w:lang w:val="en-AU"/>
        </w:rPr>
      </w:pPr>
      <w:r w:rsidRPr="00AE30F0">
        <w:rPr>
          <w:rFonts w:ascii="Calibri" w:hAnsi="Calibri" w:cs="Calibri"/>
          <w:color w:val="3C3C3C" w:themeColor="background2" w:themeShade="40"/>
          <w:lang w:val="en-AU"/>
        </w:rPr>
        <w:t xml:space="preserve"> </w:t>
      </w:r>
      <w:bookmarkStart w:id="63" w:name="_Toc501451694"/>
      <w:r w:rsidR="008B2140" w:rsidRPr="00394C86">
        <w:rPr>
          <w:rFonts w:ascii="Calibri" w:hAnsi="Calibri" w:cs="Calibri"/>
          <w:lang w:val="en-AU"/>
        </w:rPr>
        <w:t>Safeguards</w:t>
      </w:r>
      <w:bookmarkEnd w:id="63"/>
    </w:p>
    <w:p w14:paraId="57C3075E" w14:textId="47F13FC5" w:rsidR="006170A6" w:rsidRPr="00394C86" w:rsidRDefault="002F755C" w:rsidP="00110706">
      <w:pPr>
        <w:rPr>
          <w:color w:val="3C3C3C" w:themeColor="background2" w:themeShade="40"/>
          <w:lang w:val="en-AU"/>
        </w:rPr>
      </w:pPr>
      <w:r w:rsidRPr="00AE30F0">
        <w:rPr>
          <w:color w:val="3C3C3C" w:themeColor="background2" w:themeShade="40"/>
          <w:lang w:val="en-AU"/>
        </w:rPr>
        <w:t>AHP NGOs have full accreditation under DFAT’s Australian NGO Cooperation Program (ANCP).  ANCP accreditation is a rigorous assessment which examines NGOs' governance, program management capacity, partner management and risk management</w:t>
      </w:r>
      <w:r w:rsidR="00CD3AB8" w:rsidRPr="00AE30F0">
        <w:rPr>
          <w:color w:val="3C3C3C" w:themeColor="background2" w:themeShade="40"/>
          <w:lang w:val="en-AU"/>
        </w:rPr>
        <w:t>,</w:t>
      </w:r>
      <w:r w:rsidRPr="00AE30F0">
        <w:rPr>
          <w:color w:val="3C3C3C" w:themeColor="background2" w:themeShade="40"/>
          <w:lang w:val="en-AU"/>
        </w:rPr>
        <w:t xml:space="preserve"> including capacity around, and compliance with, the main safeguard issues. AHP NGOs were also subject to a competitive procurement process that required compliance with DFAT’s child protection standards and environmental safeguard systems</w:t>
      </w:r>
      <w:r w:rsidR="00F50967" w:rsidRPr="00AE30F0">
        <w:rPr>
          <w:color w:val="3C3C3C" w:themeColor="background2" w:themeShade="40"/>
          <w:lang w:val="en-AU"/>
        </w:rPr>
        <w:t xml:space="preserve">; </w:t>
      </w:r>
      <w:r w:rsidR="00CD3AB8" w:rsidRPr="00AE30F0">
        <w:rPr>
          <w:color w:val="3C3C3C" w:themeColor="background2" w:themeShade="40"/>
          <w:lang w:val="en-AU"/>
        </w:rPr>
        <w:t xml:space="preserve">they </w:t>
      </w:r>
      <w:r w:rsidRPr="00AE30F0">
        <w:rPr>
          <w:color w:val="3C3C3C" w:themeColor="background2" w:themeShade="40"/>
          <w:lang w:val="en-AU"/>
        </w:rPr>
        <w:t xml:space="preserve">will also assess </w:t>
      </w:r>
      <w:r w:rsidR="00F50967" w:rsidRPr="00AE30F0">
        <w:rPr>
          <w:color w:val="3C3C3C" w:themeColor="background2" w:themeShade="40"/>
          <w:lang w:val="en-AU"/>
        </w:rPr>
        <w:t xml:space="preserve">their </w:t>
      </w:r>
      <w:r w:rsidRPr="00AE30F0">
        <w:rPr>
          <w:color w:val="3C3C3C" w:themeColor="background2" w:themeShade="40"/>
          <w:lang w:val="en-AU"/>
        </w:rPr>
        <w:t xml:space="preserve">broader protection capabilities </w:t>
      </w:r>
      <w:r w:rsidR="00CD3AB8" w:rsidRPr="00AE30F0">
        <w:rPr>
          <w:color w:val="3C3C3C" w:themeColor="background2" w:themeShade="40"/>
          <w:lang w:val="en-AU"/>
        </w:rPr>
        <w:t xml:space="preserve">in relation to </w:t>
      </w:r>
      <w:r w:rsidRPr="00AE30F0">
        <w:rPr>
          <w:color w:val="3C3C3C" w:themeColor="background2" w:themeShade="40"/>
          <w:lang w:val="en-AU"/>
        </w:rPr>
        <w:t>gender equality and disability inclusion.</w:t>
      </w:r>
      <w:r w:rsidR="00921E6E">
        <w:rPr>
          <w:color w:val="3C3C3C" w:themeColor="background2" w:themeShade="40"/>
          <w:lang w:val="en-GB" w:eastAsia="en-GB"/>
        </w:rPr>
        <w:br/>
      </w:r>
      <w:r w:rsidR="00921E6E">
        <w:rPr>
          <w:color w:val="3C3C3C" w:themeColor="background2" w:themeShade="40"/>
          <w:lang w:val="en-GB" w:eastAsia="en-GB"/>
        </w:rPr>
        <w:br/>
      </w:r>
      <w:r w:rsidRPr="00AE30F0">
        <w:rPr>
          <w:color w:val="3C3C3C" w:themeColor="background2" w:themeShade="40"/>
          <w:lang w:val="en-GB" w:eastAsia="en-GB"/>
        </w:rPr>
        <w:t>During implementation, checks o</w:t>
      </w:r>
      <w:r w:rsidR="00800B54" w:rsidRPr="00A048D6">
        <w:rPr>
          <w:color w:val="3C3C3C" w:themeColor="background2" w:themeShade="40"/>
          <w:lang w:val="en-GB" w:eastAsia="en-GB"/>
        </w:rPr>
        <w:t>f</w:t>
      </w:r>
      <w:r w:rsidRPr="00AE30F0">
        <w:rPr>
          <w:color w:val="3C3C3C" w:themeColor="background2" w:themeShade="40"/>
          <w:lang w:val="en-GB" w:eastAsia="en-GB"/>
        </w:rPr>
        <w:t xml:space="preserve"> compliance with DFAT's child protection and environmental protection policies and </w:t>
      </w:r>
      <w:r w:rsidR="00800B54" w:rsidRPr="00A048D6">
        <w:rPr>
          <w:color w:val="3C3C3C" w:themeColor="background2" w:themeShade="40"/>
          <w:lang w:val="en-GB" w:eastAsia="en-GB"/>
        </w:rPr>
        <w:t xml:space="preserve">of </w:t>
      </w:r>
      <w:r w:rsidRPr="00AE30F0">
        <w:rPr>
          <w:color w:val="3C3C3C" w:themeColor="background2" w:themeShade="40"/>
          <w:lang w:val="en-GB" w:eastAsia="en-GB"/>
        </w:rPr>
        <w:t>the presence of appropriate safeguards will be carried out as part of monitoring, evaluation and learning activities. These checks will cover both funded ANGO partners and their local implementing partners.</w:t>
      </w:r>
      <w:r w:rsidR="00921E6E">
        <w:rPr>
          <w:color w:val="3C3C3C" w:themeColor="background2" w:themeShade="40"/>
          <w:lang w:val="en-AU"/>
        </w:rPr>
        <w:br/>
      </w:r>
      <w:r w:rsidR="00921E6E">
        <w:rPr>
          <w:color w:val="3C3C3C" w:themeColor="background2" w:themeShade="40"/>
          <w:lang w:val="en-AU"/>
        </w:rPr>
        <w:br/>
      </w:r>
      <w:r w:rsidR="00BA5B8E" w:rsidRPr="00394C86">
        <w:rPr>
          <w:color w:val="3C3C3C" w:themeColor="background2" w:themeShade="40"/>
          <w:lang w:val="en-AU"/>
        </w:rPr>
        <w:t xml:space="preserve">NGOs </w:t>
      </w:r>
      <w:r w:rsidR="00D33C06" w:rsidRPr="00394C86">
        <w:rPr>
          <w:color w:val="3C3C3C" w:themeColor="background2" w:themeShade="40"/>
          <w:lang w:val="en-AU"/>
        </w:rPr>
        <w:t xml:space="preserve">will </w:t>
      </w:r>
      <w:r w:rsidR="00BA5B8E" w:rsidRPr="00394C86">
        <w:rPr>
          <w:color w:val="3C3C3C" w:themeColor="background2" w:themeShade="40"/>
          <w:lang w:val="en-AU"/>
        </w:rPr>
        <w:t>work at community level and in schools to improve disaster preparedness</w:t>
      </w:r>
      <w:r w:rsidR="00F0476E" w:rsidRPr="00394C86">
        <w:rPr>
          <w:color w:val="3C3C3C" w:themeColor="background2" w:themeShade="40"/>
          <w:lang w:val="en-AU"/>
        </w:rPr>
        <w:t>. T</w:t>
      </w:r>
      <w:r w:rsidR="00F9116E" w:rsidRPr="00394C86">
        <w:rPr>
          <w:color w:val="3C3C3C" w:themeColor="background2" w:themeShade="40"/>
          <w:lang w:val="en-AU"/>
        </w:rPr>
        <w:t xml:space="preserve">he program will </w:t>
      </w:r>
      <w:r w:rsidR="00373DCD" w:rsidRPr="00394C86">
        <w:rPr>
          <w:color w:val="3C3C3C" w:themeColor="background2" w:themeShade="40"/>
          <w:lang w:val="en-AU"/>
        </w:rPr>
        <w:t>ensur</w:t>
      </w:r>
      <w:r w:rsidR="00F0476E" w:rsidRPr="00394C86">
        <w:rPr>
          <w:color w:val="3C3C3C" w:themeColor="background2" w:themeShade="40"/>
          <w:lang w:val="en-AU"/>
        </w:rPr>
        <w:t>e</w:t>
      </w:r>
      <w:r w:rsidR="00373DCD" w:rsidRPr="00394C86">
        <w:rPr>
          <w:color w:val="3C3C3C" w:themeColor="background2" w:themeShade="40"/>
          <w:lang w:val="en-AU"/>
        </w:rPr>
        <w:t xml:space="preserve"> </w:t>
      </w:r>
      <w:r w:rsidR="00D33C06" w:rsidRPr="00394C86">
        <w:rPr>
          <w:color w:val="3C3C3C" w:themeColor="background2" w:themeShade="40"/>
          <w:lang w:val="en-AU"/>
        </w:rPr>
        <w:t>child protection policies</w:t>
      </w:r>
      <w:r w:rsidR="00373DCD" w:rsidRPr="00394C86">
        <w:rPr>
          <w:color w:val="3C3C3C" w:themeColor="background2" w:themeShade="40"/>
          <w:lang w:val="en-AU"/>
        </w:rPr>
        <w:t xml:space="preserve"> are operationalized for humanitarian preparedness and response work as part of national INGO, </w:t>
      </w:r>
      <w:r w:rsidR="00F0476E" w:rsidRPr="00394C86">
        <w:rPr>
          <w:color w:val="3C3C3C" w:themeColor="background2" w:themeShade="40"/>
          <w:lang w:val="en-AU"/>
        </w:rPr>
        <w:t xml:space="preserve">local NGO and </w:t>
      </w:r>
      <w:r w:rsidR="00D61ACB" w:rsidRPr="00394C86">
        <w:rPr>
          <w:color w:val="3C3C3C" w:themeColor="background2" w:themeShade="40"/>
          <w:lang w:val="en-AU"/>
        </w:rPr>
        <w:t>faith-based</w:t>
      </w:r>
      <w:r w:rsidR="00F0476E" w:rsidRPr="00394C86">
        <w:rPr>
          <w:color w:val="3C3C3C" w:themeColor="background2" w:themeShade="40"/>
          <w:lang w:val="en-AU"/>
        </w:rPr>
        <w:t xml:space="preserve"> organisations</w:t>
      </w:r>
      <w:r w:rsidR="00373DCD" w:rsidRPr="00394C86">
        <w:rPr>
          <w:color w:val="3C3C3C" w:themeColor="background2" w:themeShade="40"/>
          <w:lang w:val="en-AU"/>
        </w:rPr>
        <w:t xml:space="preserve"> systems. </w:t>
      </w:r>
      <w:r w:rsidR="00BC1A3A" w:rsidRPr="00394C86">
        <w:rPr>
          <w:color w:val="3C3C3C" w:themeColor="background2" w:themeShade="40"/>
          <w:lang w:val="en-AU"/>
        </w:rPr>
        <w:t>AHP NGOs must also comply with Sphere Minimum Standards for Child Protection in Emergencies</w:t>
      </w:r>
      <w:r w:rsidR="00BC1A3A" w:rsidRPr="00394C86">
        <w:rPr>
          <w:rStyle w:val="FootnoteReference"/>
          <w:color w:val="3C3C3C" w:themeColor="background2" w:themeShade="40"/>
          <w:lang w:val="en-AU"/>
        </w:rPr>
        <w:footnoteReference w:id="60"/>
      </w:r>
      <w:r w:rsidR="00BC1A3A" w:rsidRPr="00394C86">
        <w:rPr>
          <w:color w:val="3C3C3C" w:themeColor="background2" w:themeShade="40"/>
          <w:lang w:val="en-AU"/>
        </w:rPr>
        <w:t xml:space="preserve">. </w:t>
      </w:r>
      <w:r w:rsidR="00422144" w:rsidRPr="00394C86">
        <w:rPr>
          <w:color w:val="3C3C3C" w:themeColor="background2" w:themeShade="40"/>
          <w:lang w:val="en-AU"/>
        </w:rPr>
        <w:t xml:space="preserve">Through </w:t>
      </w:r>
      <w:r w:rsidR="00F83E02" w:rsidRPr="00394C86">
        <w:rPr>
          <w:color w:val="3C3C3C" w:themeColor="background2" w:themeShade="40"/>
          <w:lang w:val="en-AU"/>
        </w:rPr>
        <w:t>shared s</w:t>
      </w:r>
      <w:r w:rsidR="00BF1A40" w:rsidRPr="00394C86">
        <w:rPr>
          <w:color w:val="3C3C3C" w:themeColor="background2" w:themeShade="40"/>
          <w:lang w:val="en-AU"/>
        </w:rPr>
        <w:t>ervices</w:t>
      </w:r>
      <w:r w:rsidR="00800B54" w:rsidRPr="00394C86">
        <w:rPr>
          <w:color w:val="3C3C3C" w:themeColor="background2" w:themeShade="40"/>
          <w:lang w:val="en-AU"/>
        </w:rPr>
        <w:t>,</w:t>
      </w:r>
      <w:r w:rsidR="00422144" w:rsidRPr="00394C86">
        <w:rPr>
          <w:color w:val="3C3C3C" w:themeColor="background2" w:themeShade="40"/>
          <w:lang w:val="en-AU"/>
        </w:rPr>
        <w:t xml:space="preserve"> an NGO with child rights expertise will lead the learning </w:t>
      </w:r>
      <w:r w:rsidR="00BC1A3A" w:rsidRPr="00394C86">
        <w:rPr>
          <w:color w:val="3C3C3C" w:themeColor="background2" w:themeShade="40"/>
          <w:lang w:val="en-AU"/>
        </w:rPr>
        <w:t xml:space="preserve">and improvement </w:t>
      </w:r>
      <w:r w:rsidR="00422144" w:rsidRPr="00394C86">
        <w:rPr>
          <w:color w:val="3C3C3C" w:themeColor="background2" w:themeShade="40"/>
          <w:lang w:val="en-AU"/>
        </w:rPr>
        <w:t>process with other AHP NGOs</w:t>
      </w:r>
      <w:r w:rsidR="0027492B" w:rsidRPr="00394C86">
        <w:rPr>
          <w:color w:val="3C3C3C" w:themeColor="background2" w:themeShade="40"/>
          <w:lang w:val="en-AU"/>
        </w:rPr>
        <w:t xml:space="preserve"> in each country</w:t>
      </w:r>
      <w:r w:rsidR="00F50967" w:rsidRPr="00394C86">
        <w:rPr>
          <w:color w:val="3C3C3C" w:themeColor="background2" w:themeShade="40"/>
          <w:lang w:val="en-AU"/>
        </w:rPr>
        <w:t xml:space="preserve">. </w:t>
      </w:r>
      <w:r w:rsidR="00422144" w:rsidRPr="00394C86">
        <w:rPr>
          <w:color w:val="3C3C3C" w:themeColor="background2" w:themeShade="40"/>
          <w:lang w:val="en-AU"/>
        </w:rPr>
        <w:t xml:space="preserve">NGO progress will be assessed through annual reviews. </w:t>
      </w:r>
      <w:r w:rsidR="00373DCD" w:rsidRPr="00394C86">
        <w:rPr>
          <w:color w:val="3C3C3C" w:themeColor="background2" w:themeShade="40"/>
          <w:lang w:val="en-AU"/>
        </w:rPr>
        <w:t xml:space="preserve">Some NGOs will </w:t>
      </w:r>
      <w:r w:rsidR="00422144" w:rsidRPr="00394C86">
        <w:rPr>
          <w:color w:val="3C3C3C" w:themeColor="background2" w:themeShade="40"/>
          <w:lang w:val="en-AU"/>
        </w:rPr>
        <w:t xml:space="preserve">undertake specific </w:t>
      </w:r>
      <w:r w:rsidR="00422144" w:rsidRPr="00394C86">
        <w:rPr>
          <w:color w:val="3C3C3C" w:themeColor="background2" w:themeShade="40"/>
          <w:lang w:val="en-AU"/>
        </w:rPr>
        <w:lastRenderedPageBreak/>
        <w:t>activities to address</w:t>
      </w:r>
      <w:r w:rsidR="00373DCD" w:rsidRPr="00394C86">
        <w:rPr>
          <w:color w:val="3C3C3C" w:themeColor="background2" w:themeShade="40"/>
          <w:lang w:val="en-AU"/>
        </w:rPr>
        <w:t xml:space="preserve"> children’s rights and needs, for example</w:t>
      </w:r>
      <w:r w:rsidR="00800B54" w:rsidRPr="00394C86">
        <w:rPr>
          <w:color w:val="3C3C3C" w:themeColor="background2" w:themeShade="40"/>
          <w:lang w:val="en-AU"/>
        </w:rPr>
        <w:t>,</w:t>
      </w:r>
      <w:r w:rsidR="00373DCD" w:rsidRPr="00394C86">
        <w:rPr>
          <w:color w:val="3C3C3C" w:themeColor="background2" w:themeShade="40"/>
          <w:lang w:val="en-AU"/>
        </w:rPr>
        <w:t xml:space="preserve"> through disaster planning and education </w:t>
      </w:r>
      <w:r w:rsidR="00422144" w:rsidRPr="00394C86">
        <w:rPr>
          <w:color w:val="3C3C3C" w:themeColor="background2" w:themeShade="40"/>
          <w:lang w:val="en-AU"/>
        </w:rPr>
        <w:t>in schools</w:t>
      </w:r>
      <w:r w:rsidR="00373DCD" w:rsidRPr="00394C86">
        <w:rPr>
          <w:color w:val="3C3C3C" w:themeColor="background2" w:themeShade="40"/>
          <w:lang w:val="en-AU"/>
        </w:rPr>
        <w:t xml:space="preserve">. </w:t>
      </w:r>
      <w:r w:rsidR="00921E6E">
        <w:rPr>
          <w:color w:val="3C3C3C" w:themeColor="background2" w:themeShade="40"/>
          <w:lang w:val="en-AU"/>
        </w:rPr>
        <w:br/>
      </w:r>
      <w:r w:rsidR="00921E6E">
        <w:rPr>
          <w:color w:val="3C3C3C" w:themeColor="background2" w:themeShade="40"/>
          <w:lang w:val="en-AU"/>
        </w:rPr>
        <w:br/>
      </w:r>
      <w:r w:rsidR="00BA5B8E" w:rsidRPr="00394C86">
        <w:rPr>
          <w:color w:val="3C3C3C" w:themeColor="background2" w:themeShade="40"/>
          <w:lang w:val="en-AU"/>
        </w:rPr>
        <w:t>Environment</w:t>
      </w:r>
      <w:r w:rsidR="0027492B" w:rsidRPr="00394C86">
        <w:rPr>
          <w:color w:val="3C3C3C" w:themeColor="background2" w:themeShade="40"/>
          <w:lang w:val="en-AU"/>
        </w:rPr>
        <w:t>al protection</w:t>
      </w:r>
      <w:r w:rsidR="00BA5B8E" w:rsidRPr="00394C86">
        <w:rPr>
          <w:color w:val="3C3C3C" w:themeColor="background2" w:themeShade="40"/>
          <w:lang w:val="en-AU"/>
        </w:rPr>
        <w:t xml:space="preserve"> and resettlement </w:t>
      </w:r>
      <w:r w:rsidR="0027492B" w:rsidRPr="00394C86">
        <w:rPr>
          <w:color w:val="3C3C3C" w:themeColor="background2" w:themeShade="40"/>
          <w:lang w:val="en-AU"/>
        </w:rPr>
        <w:t xml:space="preserve">risks </w:t>
      </w:r>
      <w:r w:rsidR="00BA5B8E" w:rsidRPr="00394C86">
        <w:rPr>
          <w:color w:val="3C3C3C" w:themeColor="background2" w:themeShade="40"/>
          <w:lang w:val="en-AU"/>
        </w:rPr>
        <w:t>have not been identified</w:t>
      </w:r>
      <w:r w:rsidR="0027492B" w:rsidRPr="00394C86">
        <w:rPr>
          <w:color w:val="3C3C3C" w:themeColor="background2" w:themeShade="40"/>
          <w:lang w:val="en-AU"/>
        </w:rPr>
        <w:t xml:space="preserve"> in the program</w:t>
      </w:r>
      <w:r w:rsidR="0028060A" w:rsidRPr="00394C86">
        <w:rPr>
          <w:color w:val="3C3C3C" w:themeColor="background2" w:themeShade="40"/>
          <w:lang w:val="en-AU"/>
        </w:rPr>
        <w:t>. As there is flexibility in the program there is potential for environmental risks to emerge</w:t>
      </w:r>
      <w:r w:rsidR="00052600" w:rsidRPr="00394C86">
        <w:rPr>
          <w:color w:val="3C3C3C" w:themeColor="background2" w:themeShade="40"/>
          <w:lang w:val="en-AU"/>
        </w:rPr>
        <w:t>.  The emergence of environmental risks</w:t>
      </w:r>
      <w:r w:rsidR="0028060A" w:rsidRPr="00394C86">
        <w:rPr>
          <w:color w:val="3C3C3C" w:themeColor="background2" w:themeShade="40"/>
          <w:lang w:val="en-AU"/>
        </w:rPr>
        <w:t xml:space="preserve"> will be monitored when annual activity implementation plans are reviewed and </w:t>
      </w:r>
      <w:r w:rsidR="007A2A74" w:rsidRPr="00394C86">
        <w:rPr>
          <w:color w:val="3C3C3C" w:themeColor="background2" w:themeShade="40"/>
          <w:lang w:val="en-AU"/>
        </w:rPr>
        <w:t>activities will be required to comply with DFAT’s Environmental Protection Policy.</w:t>
      </w:r>
    </w:p>
    <w:p w14:paraId="046D351B" w14:textId="77777777" w:rsidR="00FB33AB" w:rsidRPr="00394C86" w:rsidRDefault="00FB33AB" w:rsidP="00110706">
      <w:pPr>
        <w:rPr>
          <w:lang w:val="en-AU"/>
        </w:rPr>
      </w:pPr>
    </w:p>
    <w:p w14:paraId="095CEA77" w14:textId="3741E7D8" w:rsidR="008B2140" w:rsidRPr="00394C86" w:rsidRDefault="00914FFF" w:rsidP="00110706">
      <w:pPr>
        <w:pStyle w:val="Heading1"/>
        <w:rPr>
          <w:rFonts w:ascii="Calibri" w:hAnsi="Calibri" w:cs="Calibri"/>
          <w:lang w:val="en-AU"/>
        </w:rPr>
      </w:pPr>
      <w:bookmarkStart w:id="64" w:name="_Toc501451695"/>
      <w:r w:rsidRPr="00394C86">
        <w:rPr>
          <w:rFonts w:ascii="Calibri" w:hAnsi="Calibri" w:cs="Calibri"/>
          <w:lang w:val="en-AU"/>
        </w:rPr>
        <w:t>Annexes</w:t>
      </w:r>
      <w:bookmarkEnd w:id="64"/>
    </w:p>
    <w:tbl>
      <w:tblPr>
        <w:tblW w:w="9498" w:type="dxa"/>
        <w:shd w:val="clear" w:color="auto" w:fill="FFFFFF" w:themeFill="background1"/>
        <w:tblLook w:val="04A0" w:firstRow="1" w:lastRow="0" w:firstColumn="1" w:lastColumn="0" w:noHBand="0" w:noVBand="1"/>
      </w:tblPr>
      <w:tblGrid>
        <w:gridCol w:w="9498"/>
      </w:tblGrid>
      <w:tr w:rsidR="002860AF" w:rsidRPr="00394C86" w14:paraId="6BE5FF8A" w14:textId="77777777" w:rsidTr="003B76F8">
        <w:trPr>
          <w:trHeight w:val="293"/>
        </w:trPr>
        <w:tc>
          <w:tcPr>
            <w:tcW w:w="9498" w:type="dxa"/>
            <w:tcBorders>
              <w:top w:val="nil"/>
              <w:left w:val="nil"/>
              <w:bottom w:val="nil"/>
              <w:right w:val="nil"/>
            </w:tcBorders>
            <w:shd w:val="clear" w:color="auto" w:fill="FFFFFF" w:themeFill="background1"/>
            <w:noWrap/>
            <w:vAlign w:val="bottom"/>
            <w:hideMark/>
          </w:tcPr>
          <w:p w14:paraId="5E993B71" w14:textId="18FB175C" w:rsidR="00280AA3" w:rsidRPr="00394C86" w:rsidRDefault="006170A6" w:rsidP="006170A6">
            <w:pPr>
              <w:pStyle w:val="Heading2"/>
              <w:rPr>
                <w:rFonts w:ascii="Calibri" w:hAnsi="Calibri" w:cs="Calibri"/>
                <w:lang w:val="en-AU"/>
              </w:rPr>
            </w:pPr>
            <w:bookmarkStart w:id="65" w:name="_Toc501451696"/>
            <w:r w:rsidRPr="00394C86">
              <w:rPr>
                <w:rFonts w:ascii="Calibri" w:hAnsi="Calibri" w:cs="Calibri"/>
                <w:lang w:val="en-AU"/>
              </w:rPr>
              <w:t xml:space="preserve">Annex 1 </w:t>
            </w:r>
            <w:r w:rsidR="00280AA3" w:rsidRPr="00394C86">
              <w:rPr>
                <w:rFonts w:ascii="Calibri" w:hAnsi="Calibri" w:cs="Calibri"/>
                <w:lang w:val="en-AU"/>
              </w:rPr>
              <w:t xml:space="preserve">Program </w:t>
            </w:r>
            <w:r w:rsidR="00B9309E" w:rsidRPr="00394C86">
              <w:rPr>
                <w:rFonts w:ascii="Calibri" w:hAnsi="Calibri" w:cs="Calibri"/>
                <w:lang w:val="en-AU"/>
              </w:rPr>
              <w:t>O</w:t>
            </w:r>
            <w:r w:rsidR="00280AA3" w:rsidRPr="00394C86">
              <w:rPr>
                <w:rFonts w:ascii="Calibri" w:hAnsi="Calibri" w:cs="Calibri"/>
                <w:lang w:val="en-AU"/>
              </w:rPr>
              <w:t xml:space="preserve">bjectives </w:t>
            </w:r>
            <w:r w:rsidR="00B9309E" w:rsidRPr="00394C86">
              <w:rPr>
                <w:rFonts w:ascii="Calibri" w:hAnsi="Calibri" w:cs="Calibri"/>
                <w:lang w:val="en-AU"/>
              </w:rPr>
              <w:t>O</w:t>
            </w:r>
            <w:r w:rsidR="00280AA3" w:rsidRPr="00394C86">
              <w:rPr>
                <w:rFonts w:ascii="Calibri" w:hAnsi="Calibri" w:cs="Calibri"/>
                <w:lang w:val="en-AU"/>
              </w:rPr>
              <w:t xml:space="preserve">utcomes </w:t>
            </w:r>
            <w:r w:rsidR="00163C8F" w:rsidRPr="00394C86">
              <w:rPr>
                <w:rFonts w:ascii="Calibri" w:hAnsi="Calibri" w:cs="Calibri"/>
                <w:lang w:val="en-AU"/>
              </w:rPr>
              <w:t>and</w:t>
            </w:r>
            <w:r w:rsidR="00280AA3" w:rsidRPr="00394C86">
              <w:rPr>
                <w:rFonts w:ascii="Calibri" w:hAnsi="Calibri" w:cs="Calibri"/>
                <w:lang w:val="en-AU"/>
              </w:rPr>
              <w:t xml:space="preserve"> </w:t>
            </w:r>
            <w:r w:rsidR="00B9309E" w:rsidRPr="00394C86">
              <w:rPr>
                <w:rFonts w:ascii="Calibri" w:hAnsi="Calibri" w:cs="Calibri"/>
                <w:lang w:val="en-AU"/>
              </w:rPr>
              <w:t>I</w:t>
            </w:r>
            <w:r w:rsidR="00280AA3" w:rsidRPr="00394C86">
              <w:rPr>
                <w:rFonts w:ascii="Calibri" w:hAnsi="Calibri" w:cs="Calibri"/>
                <w:lang w:val="en-AU"/>
              </w:rPr>
              <w:t>ndicators</w:t>
            </w:r>
            <w:bookmarkEnd w:id="65"/>
          </w:p>
          <w:p w14:paraId="642EE4DA" w14:textId="3B42D694" w:rsidR="006170A6" w:rsidRPr="00394C86" w:rsidRDefault="00280AA3" w:rsidP="006170A6">
            <w:pPr>
              <w:pStyle w:val="Heading2"/>
              <w:rPr>
                <w:rFonts w:ascii="Calibri" w:hAnsi="Calibri" w:cs="Calibri"/>
                <w:lang w:val="en-AU"/>
              </w:rPr>
            </w:pPr>
            <w:bookmarkStart w:id="66" w:name="_Toc501451697"/>
            <w:r w:rsidRPr="00394C86">
              <w:rPr>
                <w:rFonts w:ascii="Calibri" w:hAnsi="Calibri" w:cs="Calibri"/>
                <w:lang w:val="en-AU"/>
              </w:rPr>
              <w:t xml:space="preserve">Annex 2 </w:t>
            </w:r>
            <w:r w:rsidR="006170A6" w:rsidRPr="00394C86">
              <w:rPr>
                <w:rFonts w:ascii="Calibri" w:hAnsi="Calibri" w:cs="Calibri"/>
                <w:lang w:val="en-AU"/>
              </w:rPr>
              <w:t>AHP Lead NGOs</w:t>
            </w:r>
            <w:r w:rsidRPr="00394C86">
              <w:rPr>
                <w:rFonts w:ascii="Calibri" w:hAnsi="Calibri" w:cs="Calibri"/>
                <w:lang w:val="en-AU"/>
              </w:rPr>
              <w:t xml:space="preserve">, </w:t>
            </w:r>
            <w:r w:rsidR="006170A6" w:rsidRPr="00394C86">
              <w:rPr>
                <w:rFonts w:ascii="Calibri" w:hAnsi="Calibri" w:cs="Calibri"/>
                <w:lang w:val="en-AU"/>
              </w:rPr>
              <w:t>Consortia</w:t>
            </w:r>
            <w:r w:rsidR="00A43DF0" w:rsidRPr="00394C86">
              <w:rPr>
                <w:rFonts w:ascii="Calibri" w:hAnsi="Calibri" w:cs="Calibri"/>
                <w:lang w:val="en-AU"/>
              </w:rPr>
              <w:t xml:space="preserve">, </w:t>
            </w:r>
            <w:r w:rsidRPr="00394C86">
              <w:rPr>
                <w:rFonts w:ascii="Calibri" w:hAnsi="Calibri" w:cs="Calibri"/>
                <w:lang w:val="en-AU"/>
              </w:rPr>
              <w:t>Country partners</w:t>
            </w:r>
            <w:bookmarkEnd w:id="66"/>
          </w:p>
          <w:p w14:paraId="374AD1C3" w14:textId="17B106C1" w:rsidR="006170A6" w:rsidRPr="00394C86" w:rsidRDefault="00280AA3" w:rsidP="006170A6">
            <w:pPr>
              <w:pStyle w:val="Heading2"/>
              <w:rPr>
                <w:rFonts w:ascii="Calibri" w:hAnsi="Calibri" w:cs="Calibri"/>
                <w:lang w:val="en-AU"/>
              </w:rPr>
            </w:pPr>
            <w:bookmarkStart w:id="67" w:name="_Toc501451698"/>
            <w:r w:rsidRPr="00394C86">
              <w:rPr>
                <w:rFonts w:ascii="Calibri" w:hAnsi="Calibri" w:cs="Calibri"/>
                <w:lang w:val="en-AU"/>
              </w:rPr>
              <w:t>Annex 3</w:t>
            </w:r>
            <w:r w:rsidR="006170A6" w:rsidRPr="00394C86">
              <w:rPr>
                <w:rFonts w:ascii="Calibri" w:hAnsi="Calibri" w:cs="Calibri"/>
                <w:lang w:val="en-AU"/>
              </w:rPr>
              <w:t xml:space="preserve"> Design </w:t>
            </w:r>
            <w:r w:rsidR="00B9309E" w:rsidRPr="00394C86">
              <w:rPr>
                <w:rFonts w:ascii="Calibri" w:hAnsi="Calibri" w:cs="Calibri"/>
                <w:lang w:val="en-AU"/>
              </w:rPr>
              <w:t>P</w:t>
            </w:r>
            <w:r w:rsidRPr="00394C86">
              <w:rPr>
                <w:rFonts w:ascii="Calibri" w:hAnsi="Calibri" w:cs="Calibri"/>
                <w:lang w:val="en-AU"/>
              </w:rPr>
              <w:t>rocess</w:t>
            </w:r>
            <w:bookmarkEnd w:id="67"/>
          </w:p>
          <w:p w14:paraId="0A502515" w14:textId="3C2A59B4" w:rsidR="00280AA3" w:rsidRPr="00394C86" w:rsidRDefault="00280AA3" w:rsidP="00280AA3">
            <w:pPr>
              <w:pStyle w:val="Heading2"/>
              <w:rPr>
                <w:rFonts w:ascii="Calibri" w:hAnsi="Calibri" w:cs="Calibri"/>
                <w:lang w:val="en-AU"/>
              </w:rPr>
            </w:pPr>
            <w:bookmarkStart w:id="68" w:name="_Toc501451699"/>
            <w:r w:rsidRPr="00394C86">
              <w:rPr>
                <w:rFonts w:ascii="Calibri" w:hAnsi="Calibri" w:cs="Calibri"/>
                <w:lang w:val="en-AU"/>
              </w:rPr>
              <w:t>Annex 4 Design Guidelines</w:t>
            </w:r>
            <w:bookmarkEnd w:id="68"/>
          </w:p>
          <w:p w14:paraId="2362A3B6" w14:textId="72621F3A" w:rsidR="00A43DF0" w:rsidRPr="00394C86" w:rsidRDefault="005C0B80" w:rsidP="00A43DF0">
            <w:pPr>
              <w:pStyle w:val="Heading2"/>
              <w:rPr>
                <w:rFonts w:ascii="Calibri" w:hAnsi="Calibri" w:cs="Calibri"/>
                <w:lang w:val="en-AU" w:eastAsia="en-AU"/>
              </w:rPr>
            </w:pPr>
            <w:bookmarkStart w:id="69" w:name="_Toc501451700"/>
            <w:r w:rsidRPr="00394C86">
              <w:rPr>
                <w:rFonts w:ascii="Calibri" w:hAnsi="Calibri" w:cs="Calibri"/>
                <w:lang w:val="en-AU" w:eastAsia="en-AU"/>
              </w:rPr>
              <w:t xml:space="preserve">Annex </w:t>
            </w:r>
            <w:r w:rsidR="00280AA3" w:rsidRPr="00394C86">
              <w:rPr>
                <w:rFonts w:ascii="Calibri" w:hAnsi="Calibri" w:cs="Calibri"/>
                <w:lang w:val="en-AU" w:eastAsia="en-AU"/>
              </w:rPr>
              <w:t>5</w:t>
            </w:r>
            <w:r w:rsidR="00A43DF0" w:rsidRPr="00394C86">
              <w:rPr>
                <w:rFonts w:ascii="Calibri" w:hAnsi="Calibri" w:cs="Calibri"/>
                <w:lang w:val="en-AU" w:eastAsia="en-AU"/>
              </w:rPr>
              <w:t xml:space="preserve"> Evaluations and </w:t>
            </w:r>
            <w:r w:rsidR="00B9309E" w:rsidRPr="00394C86">
              <w:rPr>
                <w:rFonts w:ascii="Calibri" w:hAnsi="Calibri" w:cs="Calibri"/>
                <w:lang w:val="en-AU" w:eastAsia="en-AU"/>
              </w:rPr>
              <w:t>R</w:t>
            </w:r>
            <w:r w:rsidR="00A43DF0" w:rsidRPr="00394C86">
              <w:rPr>
                <w:rFonts w:ascii="Calibri" w:hAnsi="Calibri" w:cs="Calibri"/>
                <w:lang w:val="en-AU" w:eastAsia="en-AU"/>
              </w:rPr>
              <w:t xml:space="preserve">eports </w:t>
            </w:r>
            <w:r w:rsidR="00B9309E" w:rsidRPr="00394C86">
              <w:rPr>
                <w:rFonts w:ascii="Calibri" w:hAnsi="Calibri" w:cs="Calibri"/>
                <w:lang w:val="en-AU" w:eastAsia="en-AU"/>
              </w:rPr>
              <w:t>R</w:t>
            </w:r>
            <w:r w:rsidR="00A43DF0" w:rsidRPr="00394C86">
              <w:rPr>
                <w:rFonts w:ascii="Calibri" w:hAnsi="Calibri" w:cs="Calibri"/>
                <w:lang w:val="en-AU" w:eastAsia="en-AU"/>
              </w:rPr>
              <w:t xml:space="preserve">eviewed for </w:t>
            </w:r>
            <w:r w:rsidR="00B9309E" w:rsidRPr="00394C86">
              <w:rPr>
                <w:rFonts w:ascii="Calibri" w:hAnsi="Calibri" w:cs="Calibri"/>
                <w:lang w:val="en-AU" w:eastAsia="en-AU"/>
              </w:rPr>
              <w:t>L</w:t>
            </w:r>
            <w:r w:rsidR="00A43DF0" w:rsidRPr="00394C86">
              <w:rPr>
                <w:rFonts w:ascii="Calibri" w:hAnsi="Calibri" w:cs="Calibri"/>
                <w:lang w:val="en-AU" w:eastAsia="en-AU"/>
              </w:rPr>
              <w:t>essons</w:t>
            </w:r>
            <w:bookmarkEnd w:id="69"/>
          </w:p>
          <w:p w14:paraId="210FD837" w14:textId="5C7F404F" w:rsidR="00280AA3" w:rsidRPr="00394C86" w:rsidRDefault="00280AA3" w:rsidP="00110706">
            <w:pPr>
              <w:pStyle w:val="Heading2"/>
              <w:rPr>
                <w:rFonts w:ascii="Calibri" w:hAnsi="Calibri" w:cs="Calibri"/>
                <w:lang w:val="en-AU" w:eastAsia="en-AU"/>
              </w:rPr>
            </w:pPr>
            <w:bookmarkStart w:id="70" w:name="_Toc501451701"/>
            <w:r w:rsidRPr="00394C86">
              <w:rPr>
                <w:rFonts w:ascii="Calibri" w:hAnsi="Calibri" w:cs="Calibri"/>
                <w:lang w:val="en-AU" w:eastAsia="en-AU"/>
              </w:rPr>
              <w:t xml:space="preserve">Annex 6 </w:t>
            </w:r>
            <w:r w:rsidR="00BC39AC" w:rsidRPr="00394C86">
              <w:rPr>
                <w:rFonts w:ascii="Calibri" w:hAnsi="Calibri" w:cs="Calibri"/>
                <w:lang w:val="en-AU" w:eastAsia="en-AU"/>
              </w:rPr>
              <w:t>S</w:t>
            </w:r>
            <w:r w:rsidR="00A43DF0" w:rsidRPr="00394C86">
              <w:rPr>
                <w:rFonts w:ascii="Calibri" w:hAnsi="Calibri" w:cs="Calibri"/>
                <w:lang w:val="en-AU" w:eastAsia="en-AU"/>
              </w:rPr>
              <w:t xml:space="preserve">ummary of </w:t>
            </w:r>
            <w:r w:rsidR="00451291" w:rsidRPr="00394C86">
              <w:rPr>
                <w:rFonts w:ascii="Calibri" w:hAnsi="Calibri" w:cs="Calibri"/>
                <w:lang w:val="en-AU" w:eastAsia="en-AU"/>
              </w:rPr>
              <w:t>Activity plans (</w:t>
            </w:r>
            <w:r w:rsidR="00B9309E" w:rsidRPr="00394C86">
              <w:rPr>
                <w:rFonts w:ascii="Calibri" w:hAnsi="Calibri" w:cs="Calibri"/>
                <w:lang w:val="en-AU" w:eastAsia="en-AU"/>
              </w:rPr>
              <w:t>S</w:t>
            </w:r>
            <w:r w:rsidR="00A43DF0" w:rsidRPr="00394C86">
              <w:rPr>
                <w:rFonts w:ascii="Calibri" w:hAnsi="Calibri" w:cs="Calibri"/>
                <w:lang w:val="en-AU" w:eastAsia="en-AU"/>
              </w:rPr>
              <w:t>ub</w:t>
            </w:r>
            <w:r w:rsidR="00B9309E" w:rsidRPr="00394C86">
              <w:rPr>
                <w:rFonts w:ascii="Calibri" w:hAnsi="Calibri" w:cs="Calibri"/>
                <w:lang w:val="en-AU" w:eastAsia="en-AU"/>
              </w:rPr>
              <w:t xml:space="preserve"> D</w:t>
            </w:r>
            <w:r w:rsidR="00A43DF0" w:rsidRPr="00394C86">
              <w:rPr>
                <w:rFonts w:ascii="Calibri" w:hAnsi="Calibri" w:cs="Calibri"/>
                <w:lang w:val="en-AU" w:eastAsia="en-AU"/>
              </w:rPr>
              <w:t>esigns</w:t>
            </w:r>
            <w:r w:rsidR="00451291" w:rsidRPr="00394C86">
              <w:rPr>
                <w:rFonts w:ascii="Calibri" w:hAnsi="Calibri" w:cs="Calibri"/>
                <w:lang w:val="en-AU" w:eastAsia="en-AU"/>
              </w:rPr>
              <w:t>)</w:t>
            </w:r>
            <w:bookmarkEnd w:id="70"/>
          </w:p>
          <w:p w14:paraId="085B43F9" w14:textId="1B3D42B6" w:rsidR="00280AA3" w:rsidRPr="00394C86" w:rsidRDefault="00280AA3" w:rsidP="00110706">
            <w:pPr>
              <w:pStyle w:val="Heading2"/>
              <w:rPr>
                <w:rFonts w:ascii="Calibri" w:hAnsi="Calibri" w:cs="Calibri"/>
                <w:lang w:val="en-AU" w:eastAsia="en-AU"/>
              </w:rPr>
            </w:pPr>
            <w:bookmarkStart w:id="71" w:name="_Toc501451702"/>
            <w:r w:rsidRPr="00394C86">
              <w:rPr>
                <w:rFonts w:ascii="Calibri" w:hAnsi="Calibri" w:cs="Calibri"/>
                <w:lang w:val="en-AU" w:eastAsia="en-AU"/>
              </w:rPr>
              <w:t>Annex 7</w:t>
            </w:r>
            <w:r w:rsidR="004C484D" w:rsidRPr="00394C86">
              <w:rPr>
                <w:rFonts w:ascii="Calibri" w:hAnsi="Calibri" w:cs="Calibri"/>
                <w:lang w:val="en-AU" w:eastAsia="en-AU"/>
              </w:rPr>
              <w:t xml:space="preserve"> P</w:t>
            </w:r>
            <w:r w:rsidR="00A43DF0" w:rsidRPr="00394C86">
              <w:rPr>
                <w:rFonts w:ascii="Calibri" w:hAnsi="Calibri" w:cs="Calibri"/>
                <w:lang w:val="en-AU" w:eastAsia="en-AU"/>
              </w:rPr>
              <w:t xml:space="preserve">rogram </w:t>
            </w:r>
            <w:r w:rsidR="00B9309E" w:rsidRPr="00394C86">
              <w:rPr>
                <w:rFonts w:ascii="Calibri" w:hAnsi="Calibri" w:cs="Calibri"/>
                <w:lang w:val="en-AU" w:eastAsia="en-AU"/>
              </w:rPr>
              <w:t>B</w:t>
            </w:r>
            <w:r w:rsidR="00A43DF0" w:rsidRPr="00394C86">
              <w:rPr>
                <w:rFonts w:ascii="Calibri" w:hAnsi="Calibri" w:cs="Calibri"/>
                <w:lang w:val="en-AU" w:eastAsia="en-AU"/>
              </w:rPr>
              <w:t xml:space="preserve">udget and </w:t>
            </w:r>
            <w:r w:rsidR="00E95996" w:rsidRPr="00394C86">
              <w:rPr>
                <w:rFonts w:ascii="Calibri" w:hAnsi="Calibri" w:cs="Calibri"/>
                <w:lang w:val="en-AU" w:eastAsia="en-AU"/>
              </w:rPr>
              <w:t>YEAR 1</w:t>
            </w:r>
            <w:r w:rsidR="00A43DF0" w:rsidRPr="00394C86">
              <w:rPr>
                <w:rFonts w:ascii="Calibri" w:hAnsi="Calibri" w:cs="Calibri"/>
                <w:lang w:val="en-AU" w:eastAsia="en-AU"/>
              </w:rPr>
              <w:t xml:space="preserve"> </w:t>
            </w:r>
            <w:r w:rsidR="00B9309E" w:rsidRPr="00394C86">
              <w:rPr>
                <w:rFonts w:ascii="Calibri" w:hAnsi="Calibri" w:cs="Calibri"/>
                <w:lang w:val="en-AU" w:eastAsia="en-AU"/>
              </w:rPr>
              <w:t>B</w:t>
            </w:r>
            <w:r w:rsidR="00A43DF0" w:rsidRPr="00394C86">
              <w:rPr>
                <w:rFonts w:ascii="Calibri" w:hAnsi="Calibri" w:cs="Calibri"/>
                <w:lang w:val="en-AU" w:eastAsia="en-AU"/>
              </w:rPr>
              <w:t xml:space="preserve">udget </w:t>
            </w:r>
            <w:r w:rsidR="00B9309E" w:rsidRPr="00394C86">
              <w:rPr>
                <w:rFonts w:ascii="Calibri" w:hAnsi="Calibri" w:cs="Calibri"/>
                <w:lang w:val="en-AU" w:eastAsia="en-AU"/>
              </w:rPr>
              <w:t>E</w:t>
            </w:r>
            <w:r w:rsidR="00A43DF0" w:rsidRPr="00394C86">
              <w:rPr>
                <w:rFonts w:ascii="Calibri" w:hAnsi="Calibri" w:cs="Calibri"/>
                <w:lang w:val="en-AU" w:eastAsia="en-AU"/>
              </w:rPr>
              <w:t>stimates</w:t>
            </w:r>
            <w:bookmarkEnd w:id="71"/>
          </w:p>
          <w:p w14:paraId="4E07CB0B" w14:textId="233EE86D" w:rsidR="00AE7822" w:rsidRPr="00394C86" w:rsidRDefault="00280AA3" w:rsidP="00110706">
            <w:pPr>
              <w:pStyle w:val="Heading2"/>
              <w:rPr>
                <w:rFonts w:ascii="Calibri" w:hAnsi="Calibri" w:cs="Calibri"/>
                <w:lang w:val="en-AU" w:eastAsia="en-AU"/>
              </w:rPr>
            </w:pPr>
            <w:bookmarkStart w:id="72" w:name="_Toc501451703"/>
            <w:r w:rsidRPr="00394C86">
              <w:rPr>
                <w:rFonts w:ascii="Calibri" w:hAnsi="Calibri" w:cs="Calibri"/>
                <w:lang w:val="en-AU" w:eastAsia="en-AU"/>
              </w:rPr>
              <w:t>Annex 8</w:t>
            </w:r>
            <w:r w:rsidR="00A43DF0" w:rsidRPr="00394C86">
              <w:rPr>
                <w:rFonts w:ascii="Calibri" w:hAnsi="Calibri" w:cs="Calibri"/>
                <w:lang w:val="en-AU" w:eastAsia="en-AU"/>
              </w:rPr>
              <w:t xml:space="preserve"> </w:t>
            </w:r>
            <w:r w:rsidR="004C484D" w:rsidRPr="00394C86">
              <w:rPr>
                <w:rFonts w:ascii="Calibri" w:hAnsi="Calibri" w:cs="Calibri"/>
                <w:lang w:val="en-AU" w:eastAsia="en-AU"/>
              </w:rPr>
              <w:t>Program T</w:t>
            </w:r>
            <w:r w:rsidR="00AE7822" w:rsidRPr="00394C86">
              <w:rPr>
                <w:rFonts w:ascii="Calibri" w:hAnsi="Calibri" w:cs="Calibri"/>
                <w:lang w:val="en-AU" w:eastAsia="en-AU"/>
              </w:rPr>
              <w:t>imeline</w:t>
            </w:r>
            <w:bookmarkEnd w:id="72"/>
          </w:p>
          <w:p w14:paraId="64AA9E91" w14:textId="15F5AF27" w:rsidR="00280AA3" w:rsidRPr="00394C86" w:rsidRDefault="00AE7822" w:rsidP="00110706">
            <w:pPr>
              <w:pStyle w:val="Heading2"/>
              <w:rPr>
                <w:rFonts w:ascii="Calibri" w:hAnsi="Calibri" w:cs="Calibri"/>
                <w:lang w:val="en-AU" w:eastAsia="en-AU"/>
              </w:rPr>
            </w:pPr>
            <w:bookmarkStart w:id="73" w:name="_Toc501451704"/>
            <w:r w:rsidRPr="00394C86">
              <w:rPr>
                <w:rFonts w:ascii="Calibri" w:hAnsi="Calibri" w:cs="Calibri"/>
                <w:lang w:val="en-AU" w:eastAsia="en-AU"/>
              </w:rPr>
              <w:t xml:space="preserve">Annex 9 </w:t>
            </w:r>
            <w:r w:rsidR="00BC39AC" w:rsidRPr="00394C86">
              <w:rPr>
                <w:rFonts w:ascii="Calibri" w:hAnsi="Calibri" w:cs="Calibri"/>
                <w:lang w:val="en-AU" w:eastAsia="en-AU"/>
              </w:rPr>
              <w:t>G</w:t>
            </w:r>
            <w:r w:rsidR="00A43DF0" w:rsidRPr="00394C86">
              <w:rPr>
                <w:rFonts w:ascii="Calibri" w:hAnsi="Calibri" w:cs="Calibri"/>
                <w:lang w:val="en-AU" w:eastAsia="en-AU"/>
              </w:rPr>
              <w:t>en</w:t>
            </w:r>
            <w:r w:rsidR="00566B8C" w:rsidRPr="00394C86">
              <w:rPr>
                <w:rFonts w:ascii="Calibri" w:hAnsi="Calibri" w:cs="Calibri"/>
                <w:lang w:val="en-AU" w:eastAsia="en-AU"/>
              </w:rPr>
              <w:t>der B</w:t>
            </w:r>
            <w:r w:rsidR="00A43DF0" w:rsidRPr="00394C86">
              <w:rPr>
                <w:rFonts w:ascii="Calibri" w:hAnsi="Calibri" w:cs="Calibri"/>
                <w:lang w:val="en-AU" w:eastAsia="en-AU"/>
              </w:rPr>
              <w:t>rief</w:t>
            </w:r>
            <w:bookmarkEnd w:id="73"/>
          </w:p>
          <w:p w14:paraId="570042B7" w14:textId="1834F3F8" w:rsidR="00280AA3" w:rsidRPr="00394C86" w:rsidRDefault="00AE7822" w:rsidP="00110706">
            <w:pPr>
              <w:pStyle w:val="Heading2"/>
              <w:rPr>
                <w:rFonts w:ascii="Calibri" w:hAnsi="Calibri" w:cs="Calibri"/>
                <w:lang w:val="en-AU" w:eastAsia="en-AU"/>
              </w:rPr>
            </w:pPr>
            <w:bookmarkStart w:id="74" w:name="_Toc501451705"/>
            <w:r w:rsidRPr="00394C86">
              <w:rPr>
                <w:rFonts w:ascii="Calibri" w:hAnsi="Calibri" w:cs="Calibri"/>
                <w:lang w:val="en-AU" w:eastAsia="en-AU"/>
              </w:rPr>
              <w:t xml:space="preserve">Annex 10 </w:t>
            </w:r>
            <w:r w:rsidR="00566B8C" w:rsidRPr="00394C86">
              <w:rPr>
                <w:rFonts w:ascii="Calibri" w:hAnsi="Calibri" w:cs="Calibri"/>
                <w:lang w:val="en-AU" w:eastAsia="en-AU"/>
              </w:rPr>
              <w:t>Disability</w:t>
            </w:r>
            <w:r w:rsidR="00F50967" w:rsidRPr="00394C86">
              <w:rPr>
                <w:rFonts w:ascii="Calibri" w:hAnsi="Calibri" w:cs="Calibri"/>
                <w:lang w:val="en-AU" w:eastAsia="en-AU"/>
              </w:rPr>
              <w:t>-</w:t>
            </w:r>
            <w:r w:rsidR="00B9309E" w:rsidRPr="00394C86">
              <w:rPr>
                <w:rFonts w:ascii="Calibri" w:hAnsi="Calibri" w:cs="Calibri"/>
                <w:lang w:val="en-AU" w:eastAsia="en-AU"/>
              </w:rPr>
              <w:t>I</w:t>
            </w:r>
            <w:r w:rsidR="00566B8C" w:rsidRPr="00394C86">
              <w:rPr>
                <w:rFonts w:ascii="Calibri" w:hAnsi="Calibri" w:cs="Calibri"/>
                <w:lang w:val="en-AU" w:eastAsia="en-AU"/>
              </w:rPr>
              <w:t>nclusive DRR</w:t>
            </w:r>
            <w:r w:rsidR="00A43DF0" w:rsidRPr="00394C86">
              <w:rPr>
                <w:rFonts w:ascii="Calibri" w:hAnsi="Calibri" w:cs="Calibri"/>
                <w:lang w:val="en-AU" w:eastAsia="en-AU"/>
              </w:rPr>
              <w:t xml:space="preserve"> Primer</w:t>
            </w:r>
            <w:bookmarkEnd w:id="74"/>
          </w:p>
          <w:p w14:paraId="35FD3EEC" w14:textId="755270CB" w:rsidR="002860AF" w:rsidRPr="00394C86" w:rsidRDefault="008F4CEA" w:rsidP="00110706">
            <w:pPr>
              <w:pStyle w:val="Heading2"/>
              <w:rPr>
                <w:rFonts w:ascii="Calibri" w:hAnsi="Calibri" w:cs="Calibri"/>
                <w:lang w:val="en-AU" w:eastAsia="en-AU"/>
              </w:rPr>
            </w:pPr>
            <w:bookmarkStart w:id="75" w:name="_Toc501451706"/>
            <w:r w:rsidRPr="00394C86">
              <w:rPr>
                <w:rFonts w:ascii="Calibri" w:hAnsi="Calibri" w:cs="Calibri"/>
                <w:lang w:val="en-AU" w:eastAsia="en-AU"/>
              </w:rPr>
              <w:t>A</w:t>
            </w:r>
            <w:r w:rsidR="00AE7822" w:rsidRPr="00394C86">
              <w:rPr>
                <w:rFonts w:ascii="Calibri" w:hAnsi="Calibri" w:cs="Calibri"/>
                <w:lang w:val="en-AU" w:eastAsia="en-AU"/>
              </w:rPr>
              <w:t>nnex 11</w:t>
            </w:r>
            <w:r w:rsidR="009E27D3" w:rsidRPr="00394C86">
              <w:rPr>
                <w:rFonts w:ascii="Calibri" w:hAnsi="Calibri" w:cs="Calibri"/>
                <w:lang w:val="en-AU" w:eastAsia="en-AU"/>
              </w:rPr>
              <w:t xml:space="preserve"> </w:t>
            </w:r>
            <w:r w:rsidR="002860AF" w:rsidRPr="00394C86">
              <w:rPr>
                <w:rFonts w:ascii="Calibri" w:hAnsi="Calibri" w:cs="Calibri"/>
                <w:lang w:val="en-AU" w:eastAsia="en-AU"/>
              </w:rPr>
              <w:t>Program Risk</w:t>
            </w:r>
            <w:r w:rsidR="00E93C11" w:rsidRPr="00394C86">
              <w:rPr>
                <w:rFonts w:ascii="Calibri" w:hAnsi="Calibri" w:cs="Calibri"/>
                <w:lang w:val="en-AU" w:eastAsia="en-AU"/>
              </w:rPr>
              <w:t xml:space="preserve"> R</w:t>
            </w:r>
            <w:r w:rsidR="00566B8C" w:rsidRPr="00394C86">
              <w:rPr>
                <w:rFonts w:ascii="Calibri" w:hAnsi="Calibri" w:cs="Calibri"/>
                <w:lang w:val="en-AU" w:eastAsia="en-AU"/>
              </w:rPr>
              <w:t>egister</w:t>
            </w:r>
            <w:bookmarkEnd w:id="75"/>
          </w:p>
          <w:p w14:paraId="7FB958B1" w14:textId="42803F3E" w:rsidR="00114460" w:rsidRPr="00394C86" w:rsidRDefault="005236AF" w:rsidP="00E40FAC">
            <w:pPr>
              <w:pStyle w:val="Heading2"/>
              <w:rPr>
                <w:rFonts w:ascii="Calibri" w:hAnsi="Calibri" w:cs="Calibri"/>
                <w:lang w:val="en-AU" w:eastAsia="en-AU"/>
              </w:rPr>
            </w:pPr>
            <w:bookmarkStart w:id="76" w:name="_Toc501451707"/>
            <w:r w:rsidRPr="00394C86">
              <w:rPr>
                <w:rFonts w:ascii="Calibri" w:hAnsi="Calibri" w:cs="Calibri"/>
                <w:lang w:val="en-AU" w:eastAsia="en-AU"/>
              </w:rPr>
              <w:t xml:space="preserve">Annex 12 </w:t>
            </w:r>
            <w:r w:rsidR="009D0B2B" w:rsidRPr="00394C86">
              <w:rPr>
                <w:rFonts w:ascii="Calibri" w:hAnsi="Calibri" w:cs="Calibri"/>
                <w:lang w:val="en-AU" w:eastAsia="en-AU"/>
              </w:rPr>
              <w:t>Country Committee</w:t>
            </w:r>
            <w:r w:rsidRPr="00394C86">
              <w:rPr>
                <w:rFonts w:ascii="Calibri" w:hAnsi="Calibri" w:cs="Calibri"/>
                <w:lang w:val="en-AU" w:eastAsia="en-AU"/>
              </w:rPr>
              <w:t xml:space="preserve"> Members by </w:t>
            </w:r>
            <w:r w:rsidR="00B9309E" w:rsidRPr="00394C86">
              <w:rPr>
                <w:rFonts w:ascii="Calibri" w:hAnsi="Calibri" w:cs="Calibri"/>
                <w:lang w:val="en-AU" w:eastAsia="en-AU"/>
              </w:rPr>
              <w:t>G</w:t>
            </w:r>
            <w:r w:rsidRPr="00394C86">
              <w:rPr>
                <w:rFonts w:ascii="Calibri" w:hAnsi="Calibri" w:cs="Calibri"/>
                <w:lang w:val="en-AU" w:eastAsia="en-AU"/>
              </w:rPr>
              <w:t xml:space="preserve">ender and </w:t>
            </w:r>
            <w:r w:rsidR="00B9309E" w:rsidRPr="00394C86">
              <w:rPr>
                <w:rFonts w:ascii="Calibri" w:hAnsi="Calibri" w:cs="Calibri"/>
                <w:lang w:val="en-AU" w:eastAsia="en-AU"/>
              </w:rPr>
              <w:t>N</w:t>
            </w:r>
            <w:r w:rsidRPr="00394C86">
              <w:rPr>
                <w:rFonts w:ascii="Calibri" w:hAnsi="Calibri" w:cs="Calibri"/>
                <w:lang w:val="en-AU" w:eastAsia="en-AU"/>
              </w:rPr>
              <w:t>ationality</w:t>
            </w:r>
            <w:bookmarkEnd w:id="76"/>
            <w:r w:rsidR="00E40FAC" w:rsidRPr="00394C86">
              <w:rPr>
                <w:rFonts w:ascii="Calibri" w:hAnsi="Calibri" w:cs="Calibri"/>
                <w:lang w:val="en-AU" w:eastAsia="en-AU"/>
              </w:rPr>
              <w:t xml:space="preserve"> </w:t>
            </w:r>
          </w:p>
          <w:p w14:paraId="730F8DAC" w14:textId="012FD534" w:rsidR="005236AF" w:rsidRPr="00394C86" w:rsidRDefault="00114460" w:rsidP="005236AF">
            <w:pPr>
              <w:pStyle w:val="Heading2"/>
              <w:rPr>
                <w:rFonts w:ascii="Calibri" w:hAnsi="Calibri" w:cs="Calibri"/>
                <w:lang w:val="en-AU" w:eastAsia="en-AU"/>
              </w:rPr>
            </w:pPr>
            <w:bookmarkStart w:id="77" w:name="_Toc501451708"/>
            <w:r w:rsidRPr="00394C86">
              <w:rPr>
                <w:rFonts w:ascii="Calibri" w:hAnsi="Calibri" w:cs="Calibri"/>
                <w:lang w:val="en-AU" w:eastAsia="en-AU"/>
              </w:rPr>
              <w:t>Annex 13</w:t>
            </w:r>
            <w:r w:rsidR="00E40FAC" w:rsidRPr="00394C86">
              <w:rPr>
                <w:rFonts w:ascii="Calibri" w:hAnsi="Calibri" w:cs="Calibri"/>
                <w:lang w:val="en-AU" w:eastAsia="en-AU"/>
              </w:rPr>
              <w:t xml:space="preserve"> Country </w:t>
            </w:r>
            <w:r w:rsidR="00B9309E" w:rsidRPr="00394C86">
              <w:rPr>
                <w:rFonts w:ascii="Calibri" w:hAnsi="Calibri" w:cs="Calibri"/>
                <w:lang w:val="en-AU" w:eastAsia="en-AU"/>
              </w:rPr>
              <w:t>P</w:t>
            </w:r>
            <w:r w:rsidRPr="00394C86">
              <w:rPr>
                <w:rFonts w:ascii="Calibri" w:hAnsi="Calibri" w:cs="Calibri"/>
                <w:lang w:val="en-AU" w:eastAsia="en-AU"/>
              </w:rPr>
              <w:t>lans</w:t>
            </w:r>
            <w:bookmarkEnd w:id="77"/>
            <w:r w:rsidRPr="00394C86">
              <w:rPr>
                <w:rFonts w:ascii="Calibri" w:hAnsi="Calibri" w:cs="Calibri"/>
                <w:lang w:val="en-AU" w:eastAsia="en-AU"/>
              </w:rPr>
              <w:t xml:space="preserve"> </w:t>
            </w:r>
          </w:p>
          <w:p w14:paraId="64D75C6E" w14:textId="77777777" w:rsidR="00E40FAC" w:rsidRPr="00394C86" w:rsidRDefault="00E40FAC" w:rsidP="00E40FAC">
            <w:pPr>
              <w:rPr>
                <w:lang w:val="en-AU" w:eastAsia="en-AU"/>
              </w:rPr>
            </w:pPr>
          </w:p>
          <w:p w14:paraId="407537AF" w14:textId="4FBECF9C" w:rsidR="0019754C" w:rsidRPr="00394C86" w:rsidRDefault="0019754C" w:rsidP="0019754C">
            <w:pPr>
              <w:rPr>
                <w:lang w:val="en-AU" w:eastAsia="en-AU"/>
              </w:rPr>
            </w:pPr>
          </w:p>
        </w:tc>
      </w:tr>
    </w:tbl>
    <w:p w14:paraId="607C9887" w14:textId="57679D9D" w:rsidR="00676F10" w:rsidRPr="00394C86" w:rsidRDefault="00676F10" w:rsidP="007A62FB">
      <w:pPr>
        <w:rPr>
          <w:lang w:val="en-AU"/>
        </w:rPr>
      </w:pPr>
    </w:p>
    <w:sectPr w:rsidR="00676F10" w:rsidRPr="00394C86" w:rsidSect="003B76F8">
      <w:footerReference w:type="default" r:id="rId19"/>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E671" w14:textId="77777777" w:rsidR="0073114B" w:rsidRDefault="0073114B" w:rsidP="00110706">
      <w:r>
        <w:separator/>
      </w:r>
    </w:p>
  </w:endnote>
  <w:endnote w:type="continuationSeparator" w:id="0">
    <w:p w14:paraId="31135A84" w14:textId="77777777" w:rsidR="0073114B" w:rsidRDefault="0073114B" w:rsidP="0011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2056925875"/>
      <w:docPartObj>
        <w:docPartGallery w:val="Page Numbers (Bottom of Page)"/>
        <w:docPartUnique/>
      </w:docPartObj>
    </w:sdtPr>
    <w:sdtEndPr>
      <w:rPr>
        <w:noProof/>
        <w:sz w:val="14"/>
      </w:rPr>
    </w:sdtEndPr>
    <w:sdtContent>
      <w:p w14:paraId="7AB4B799" w14:textId="77777777" w:rsidR="00941B92" w:rsidRPr="003B76F8" w:rsidRDefault="00941B92" w:rsidP="003B76F8">
        <w:pPr>
          <w:spacing w:before="0" w:after="0" w:line="240" w:lineRule="auto"/>
          <w:rPr>
            <w:sz w:val="16"/>
          </w:rPr>
        </w:pPr>
      </w:p>
      <w:p w14:paraId="2E9AE261" w14:textId="43F421FB" w:rsidR="00941B92" w:rsidRPr="003B76F8" w:rsidRDefault="00941B92" w:rsidP="003B76F8">
        <w:pPr>
          <w:spacing w:before="0" w:after="0" w:line="240" w:lineRule="auto"/>
          <w:rPr>
            <w:noProof/>
            <w:color w:val="044D6E" w:themeColor="text2" w:themeShade="80"/>
            <w:sz w:val="14"/>
          </w:rPr>
        </w:pPr>
        <w:r w:rsidRPr="003B76F8">
          <w:rPr>
            <w:color w:val="044D6E" w:themeColor="text2" w:themeShade="80"/>
            <w:sz w:val="20"/>
          </w:rPr>
          <w:fldChar w:fldCharType="begin"/>
        </w:r>
        <w:r w:rsidRPr="003B76F8">
          <w:rPr>
            <w:color w:val="044D6E" w:themeColor="text2" w:themeShade="80"/>
            <w:sz w:val="20"/>
          </w:rPr>
          <w:instrText xml:space="preserve"> PAGE   \* MERGEFORMAT </w:instrText>
        </w:r>
        <w:r w:rsidRPr="003B76F8">
          <w:rPr>
            <w:color w:val="044D6E" w:themeColor="text2" w:themeShade="80"/>
            <w:sz w:val="20"/>
          </w:rPr>
          <w:fldChar w:fldCharType="separate"/>
        </w:r>
        <w:r w:rsidR="00C53717">
          <w:rPr>
            <w:noProof/>
            <w:color w:val="044D6E" w:themeColor="text2" w:themeShade="80"/>
            <w:sz w:val="20"/>
          </w:rPr>
          <w:t>43</w:t>
        </w:r>
        <w:r w:rsidRPr="003B76F8">
          <w:rPr>
            <w:noProof/>
            <w:color w:val="044D6E" w:themeColor="text2" w:themeShade="80"/>
            <w:sz w:val="20"/>
          </w:rPr>
          <w:fldChar w:fldCharType="end"/>
        </w:r>
        <w:r w:rsidRPr="003B76F8">
          <w:rPr>
            <w:noProof/>
            <w:color w:val="044D6E" w:themeColor="text2" w:themeShade="80"/>
            <w:sz w:val="16"/>
          </w:rPr>
          <w:tab/>
        </w:r>
        <w:r w:rsidRPr="003B76F8">
          <w:rPr>
            <w:noProof/>
            <w:color w:val="044D6E" w:themeColor="text2" w:themeShade="80"/>
            <w:sz w:val="16"/>
          </w:rPr>
          <w:tab/>
        </w:r>
        <w:r w:rsidRPr="003B76F8">
          <w:rPr>
            <w:noProof/>
            <w:color w:val="044D6E" w:themeColor="text2" w:themeShade="80"/>
            <w:sz w:val="16"/>
          </w:rPr>
          <w:tab/>
        </w:r>
        <w:r w:rsidRPr="003B76F8">
          <w:rPr>
            <w:noProof/>
            <w:color w:val="044D6E" w:themeColor="text2" w:themeShade="80"/>
            <w:sz w:val="16"/>
          </w:rPr>
          <w:tab/>
        </w:r>
        <w:r w:rsidRPr="003B76F8">
          <w:rPr>
            <w:noProof/>
            <w:color w:val="044D6E" w:themeColor="text2" w:themeShade="80"/>
            <w:sz w:val="16"/>
          </w:rPr>
          <w:tab/>
        </w:r>
        <w:r w:rsidRPr="003B76F8">
          <w:rPr>
            <w:noProof/>
            <w:color w:val="044D6E" w:themeColor="text2" w:themeShade="80"/>
            <w:sz w:val="16"/>
          </w:rPr>
          <w:tab/>
        </w:r>
        <w:r w:rsidRPr="003B76F8">
          <w:rPr>
            <w:noProof/>
            <w:color w:val="044D6E" w:themeColor="text2" w:themeShade="80"/>
            <w:sz w:val="16"/>
          </w:rPr>
          <w:tab/>
        </w:r>
        <w:r w:rsidRPr="003B76F8">
          <w:rPr>
            <w:noProof/>
            <w:color w:val="044D6E" w:themeColor="text2" w:themeShade="80"/>
            <w:sz w:val="16"/>
          </w:rPr>
          <w:tab/>
        </w:r>
        <w:r>
          <w:rPr>
            <w:noProof/>
            <w:color w:val="044D6E" w:themeColor="text2" w:themeShade="80"/>
            <w:sz w:val="16"/>
          </w:rPr>
          <w:tab/>
        </w:r>
        <w:r w:rsidRPr="003B76F8">
          <w:rPr>
            <w:noProof/>
            <w:color w:val="044D6E" w:themeColor="text2" w:themeShade="80"/>
            <w:sz w:val="14"/>
          </w:rPr>
          <w:t>AHP Disaster R</w:t>
        </w:r>
        <w:r>
          <w:rPr>
            <w:noProof/>
            <w:color w:val="044D6E" w:themeColor="text2" w:themeShade="80"/>
            <w:sz w:val="14"/>
          </w:rPr>
          <w:t>EADY</w:t>
        </w:r>
        <w:r w:rsidRPr="003B76F8">
          <w:rPr>
            <w:noProof/>
            <w:color w:val="044D6E" w:themeColor="text2" w:themeShade="80"/>
            <w:sz w:val="14"/>
          </w:rPr>
          <w:t xml:space="preserve"> Overarching Framework </w:t>
        </w:r>
      </w:p>
      <w:p w14:paraId="06EB5D50" w14:textId="6F4982A9" w:rsidR="00941B92" w:rsidRPr="003B76F8" w:rsidRDefault="00941B92" w:rsidP="003B76F8">
        <w:pPr>
          <w:spacing w:before="0" w:after="0" w:line="240" w:lineRule="auto"/>
          <w:ind w:left="5760" w:firstLine="720"/>
          <w:rPr>
            <w:noProof/>
            <w:color w:val="044D6E" w:themeColor="text2" w:themeShade="80"/>
            <w:sz w:val="14"/>
          </w:rPr>
        </w:pPr>
        <w:r>
          <w:rPr>
            <w:noProof/>
            <w:color w:val="044D6E" w:themeColor="text2" w:themeShade="80"/>
            <w:sz w:val="14"/>
          </w:rPr>
          <w:t>December 2017</w:t>
        </w:r>
      </w:p>
      <w:p w14:paraId="0E6770C6" w14:textId="6ADA232B" w:rsidR="00941B92" w:rsidRPr="003B76F8" w:rsidRDefault="00941B92" w:rsidP="003B76F8">
        <w:pPr>
          <w:spacing w:before="0" w:after="0" w:line="240" w:lineRule="auto"/>
          <w:ind w:left="5760" w:firstLine="720"/>
          <w:rPr>
            <w:sz w:val="14"/>
          </w:rPr>
        </w:pPr>
        <w:r w:rsidRPr="003B76F8">
          <w:rPr>
            <w:color w:val="044D6E" w:themeColor="text2" w:themeShade="80"/>
            <w:sz w:val="14"/>
          </w:rPr>
          <w:t>Australian Humanitarian Partnership Support Unit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2736" w14:textId="77777777" w:rsidR="0073114B" w:rsidRDefault="0073114B" w:rsidP="00110706">
      <w:r>
        <w:separator/>
      </w:r>
    </w:p>
  </w:footnote>
  <w:footnote w:type="continuationSeparator" w:id="0">
    <w:p w14:paraId="32492081" w14:textId="77777777" w:rsidR="0073114B" w:rsidRDefault="0073114B" w:rsidP="00110706">
      <w:r>
        <w:continuationSeparator/>
      </w:r>
    </w:p>
  </w:footnote>
  <w:footnote w:id="1">
    <w:p w14:paraId="78D3453F" w14:textId="355F2B14" w:rsidR="00941B92" w:rsidRPr="000F35C4" w:rsidRDefault="00941B92">
      <w:pPr>
        <w:pStyle w:val="FootnoteText"/>
        <w:rPr>
          <w:rFonts w:eastAsia="Times New Roman"/>
          <w:sz w:val="18"/>
          <w:szCs w:val="18"/>
          <w:lang w:eastAsia="en-US"/>
        </w:rPr>
      </w:pPr>
      <w:r w:rsidRPr="00AC331B">
        <w:rPr>
          <w:rStyle w:val="FootnoteReference"/>
          <w:szCs w:val="22"/>
        </w:rPr>
        <w:footnoteRef/>
      </w:r>
      <w:r w:rsidRPr="00BF1A40">
        <w:rPr>
          <w:szCs w:val="22"/>
        </w:rPr>
        <w:t xml:space="preserve"> </w:t>
      </w:r>
      <w:r w:rsidRPr="000F35C4">
        <w:rPr>
          <w:rFonts w:eastAsia="Times New Roman"/>
          <w:sz w:val="18"/>
          <w:szCs w:val="18"/>
          <w:lang w:eastAsia="en-US"/>
        </w:rPr>
        <w:t>The proposed funding excludes $3m bridge funding provided to AHP NGOs in 2017 to undertake DRR activities.</w:t>
      </w:r>
    </w:p>
  </w:footnote>
  <w:footnote w:id="2">
    <w:p w14:paraId="7863F2DF" w14:textId="5B14BBE9" w:rsidR="00941B92" w:rsidRPr="00CD0244" w:rsidRDefault="00941B92">
      <w:pPr>
        <w:pStyle w:val="FootnoteText"/>
        <w:rPr>
          <w:sz w:val="18"/>
          <w:szCs w:val="18"/>
          <w:lang w:val="en-AU"/>
        </w:rPr>
      </w:pPr>
      <w:r w:rsidRPr="009F49D3">
        <w:rPr>
          <w:rStyle w:val="FootnoteReference"/>
          <w:szCs w:val="22"/>
        </w:rPr>
        <w:footnoteRef/>
      </w:r>
      <w:r w:rsidRPr="00CD0244">
        <w:rPr>
          <w:sz w:val="18"/>
          <w:szCs w:val="18"/>
        </w:rPr>
        <w:t xml:space="preserve"> </w:t>
      </w:r>
      <w:r w:rsidRPr="00CD0244">
        <w:rPr>
          <w:rFonts w:eastAsia="Times New Roman"/>
          <w:sz w:val="18"/>
          <w:szCs w:val="18"/>
          <w:lang w:eastAsia="en-US"/>
        </w:rPr>
        <w:t>Disaster READY has been designed as a five-year investment</w:t>
      </w:r>
      <w:r>
        <w:rPr>
          <w:rFonts w:eastAsia="Times New Roman"/>
          <w:sz w:val="18"/>
          <w:szCs w:val="18"/>
          <w:lang w:eastAsia="en-US"/>
        </w:rPr>
        <w:t xml:space="preserve">, and subject to performance and redesign there is </w:t>
      </w:r>
      <w:r w:rsidRPr="00CD0244">
        <w:rPr>
          <w:rFonts w:eastAsia="Times New Roman"/>
          <w:sz w:val="18"/>
          <w:szCs w:val="18"/>
          <w:lang w:eastAsia="en-US"/>
        </w:rPr>
        <w:t>potential for a further five-year phase. There will be a firm review point to inform DFAT’s decision on a second phase.</w:t>
      </w:r>
    </w:p>
  </w:footnote>
  <w:footnote w:id="3">
    <w:p w14:paraId="2B8513A8" w14:textId="77777777" w:rsidR="00941B92" w:rsidRPr="002A3FE4" w:rsidRDefault="00941B92" w:rsidP="0077087F">
      <w:pPr>
        <w:pStyle w:val="FootnoteText"/>
        <w:rPr>
          <w:sz w:val="18"/>
          <w:lang w:val="en-AU"/>
        </w:rPr>
      </w:pPr>
      <w:r w:rsidRPr="009F49D3">
        <w:rPr>
          <w:rStyle w:val="FootnoteReference"/>
          <w:szCs w:val="22"/>
        </w:rPr>
        <w:footnoteRef/>
      </w:r>
      <w:r w:rsidRPr="002A3FE4">
        <w:rPr>
          <w:sz w:val="18"/>
        </w:rPr>
        <w:t xml:space="preserve"> World Risk Register 2017: https://reliefweb.int/sites/reliefweb.int/files/resources/WRR_2017_E2.pdf</w:t>
      </w:r>
    </w:p>
  </w:footnote>
  <w:footnote w:id="4">
    <w:p w14:paraId="353D27DF" w14:textId="2F2D1B15" w:rsidR="00941B92" w:rsidRPr="009F49D3" w:rsidRDefault="00941B92">
      <w:pPr>
        <w:pStyle w:val="FootnoteText"/>
        <w:rPr>
          <w:sz w:val="18"/>
          <w:szCs w:val="18"/>
        </w:rPr>
      </w:pPr>
      <w:r w:rsidRPr="00BF1A40">
        <w:rPr>
          <w:rStyle w:val="FootnoteReference"/>
          <w:szCs w:val="22"/>
        </w:rPr>
        <w:footnoteRef/>
      </w:r>
      <w:r w:rsidRPr="00BF1A40">
        <w:rPr>
          <w:szCs w:val="22"/>
        </w:rPr>
        <w:t xml:space="preserve"> </w:t>
      </w:r>
      <w:r w:rsidRPr="004E09BA">
        <w:rPr>
          <w:sz w:val="18"/>
          <w:szCs w:val="18"/>
        </w:rPr>
        <w:t xml:space="preserve">This definition </w:t>
      </w:r>
      <w:r w:rsidRPr="00E35D78">
        <w:rPr>
          <w:sz w:val="18"/>
          <w:szCs w:val="18"/>
        </w:rPr>
        <w:t>is used in the A</w:t>
      </w:r>
      <w:r w:rsidRPr="000F35C4">
        <w:rPr>
          <w:sz w:val="18"/>
          <w:szCs w:val="18"/>
        </w:rPr>
        <w:t xml:space="preserve">ustralian Red Cross-DFAT </w:t>
      </w:r>
      <w:r w:rsidRPr="00BF1A40">
        <w:rPr>
          <w:sz w:val="18"/>
          <w:szCs w:val="18"/>
        </w:rPr>
        <w:t xml:space="preserve">Pacific </w:t>
      </w:r>
      <w:r w:rsidRPr="009F49D3">
        <w:rPr>
          <w:sz w:val="18"/>
          <w:szCs w:val="18"/>
          <w:lang w:val="en-AU"/>
        </w:rPr>
        <w:t>localisation</w:t>
      </w:r>
      <w:r w:rsidRPr="009F49D3">
        <w:rPr>
          <w:sz w:val="18"/>
          <w:szCs w:val="18"/>
        </w:rPr>
        <w:t xml:space="preserve"> research, November 2017</w:t>
      </w:r>
    </w:p>
  </w:footnote>
  <w:footnote w:id="5">
    <w:p w14:paraId="751E5FDC" w14:textId="77777777" w:rsidR="00941B92" w:rsidRPr="00BF1A40" w:rsidRDefault="00941B92" w:rsidP="0077087F">
      <w:pPr>
        <w:pStyle w:val="FootnoteText"/>
        <w:rPr>
          <w:sz w:val="18"/>
          <w:szCs w:val="18"/>
        </w:rPr>
      </w:pPr>
      <w:r w:rsidRPr="009F49D3">
        <w:rPr>
          <w:rStyle w:val="FootnoteReference"/>
          <w:szCs w:val="22"/>
        </w:rPr>
        <w:footnoteRef/>
      </w:r>
      <w:r w:rsidRPr="00BF1A40">
        <w:rPr>
          <w:sz w:val="18"/>
          <w:szCs w:val="18"/>
        </w:rPr>
        <w:t xml:space="preserve"> See Annex 3 Design Process for details</w:t>
      </w:r>
    </w:p>
  </w:footnote>
  <w:footnote w:id="6">
    <w:p w14:paraId="2402783B" w14:textId="7074C519" w:rsidR="00941B92" w:rsidRPr="00E35D78" w:rsidRDefault="00941B92" w:rsidP="00110706">
      <w:pPr>
        <w:pStyle w:val="FootnoteText"/>
        <w:rPr>
          <w:sz w:val="18"/>
          <w:szCs w:val="18"/>
        </w:rPr>
      </w:pPr>
      <w:r w:rsidRPr="009F49D3">
        <w:rPr>
          <w:rStyle w:val="FootnoteReference"/>
          <w:szCs w:val="22"/>
        </w:rPr>
        <w:footnoteRef/>
      </w:r>
      <w:r w:rsidRPr="00BF1A40">
        <w:rPr>
          <w:sz w:val="18"/>
          <w:szCs w:val="18"/>
        </w:rPr>
        <w:t xml:space="preserve"> See Annex 1 for common Program Objectives, Outcomes and Indicators</w:t>
      </w:r>
    </w:p>
  </w:footnote>
  <w:footnote w:id="7">
    <w:p w14:paraId="422B8BF8" w14:textId="4579B0DC" w:rsidR="00941B92" w:rsidRPr="00A35A2E" w:rsidRDefault="00941B92">
      <w:pPr>
        <w:pStyle w:val="FootnoteText"/>
        <w:rPr>
          <w:sz w:val="18"/>
          <w:szCs w:val="18"/>
        </w:rPr>
      </w:pPr>
      <w:r w:rsidRPr="00E35D78">
        <w:rPr>
          <w:rStyle w:val="FootnoteReference"/>
          <w:szCs w:val="22"/>
        </w:rPr>
        <w:footnoteRef/>
      </w:r>
      <w:r w:rsidRPr="00A35A2E">
        <w:rPr>
          <w:sz w:val="18"/>
          <w:szCs w:val="18"/>
        </w:rPr>
        <w:t xml:space="preserve"> The term “people with disabilities” is used with recognition that this is not a homogenous group, and </w:t>
      </w:r>
      <w:r>
        <w:rPr>
          <w:sz w:val="18"/>
          <w:szCs w:val="18"/>
        </w:rPr>
        <w:t xml:space="preserve">that </w:t>
      </w:r>
      <w:r w:rsidRPr="00A35A2E">
        <w:rPr>
          <w:sz w:val="18"/>
          <w:szCs w:val="18"/>
        </w:rPr>
        <w:t>gender, age, type of disability and other socioeconomic factors shape individual experience and capacity</w:t>
      </w:r>
    </w:p>
  </w:footnote>
  <w:footnote w:id="8">
    <w:p w14:paraId="57C96D56" w14:textId="691F8CD5" w:rsidR="00941B92" w:rsidRPr="00E35D78" w:rsidRDefault="00941B92" w:rsidP="00A91D57">
      <w:pPr>
        <w:pStyle w:val="FootnoteText"/>
        <w:rPr>
          <w:sz w:val="18"/>
          <w:szCs w:val="18"/>
          <w:lang w:val="en-AU"/>
        </w:rPr>
      </w:pPr>
      <w:r w:rsidRPr="00560CDB">
        <w:rPr>
          <w:rStyle w:val="FootnoteReference"/>
          <w:szCs w:val="22"/>
        </w:rPr>
        <w:footnoteRef/>
      </w:r>
      <w:r w:rsidRPr="00BF1A40">
        <w:rPr>
          <w:sz w:val="18"/>
          <w:szCs w:val="18"/>
        </w:rPr>
        <w:t xml:space="preserve"> </w:t>
      </w:r>
      <w:r w:rsidRPr="00BF1A40">
        <w:rPr>
          <w:sz w:val="18"/>
          <w:szCs w:val="18"/>
          <w:lang w:val="en-AU"/>
        </w:rPr>
        <w:t>Building resilience to disasters: an application to small developing states, IMF Working Paper, Oct 2017</w:t>
      </w:r>
      <w:r w:rsidRPr="00E35D78">
        <w:rPr>
          <w:sz w:val="18"/>
          <w:szCs w:val="18"/>
          <w:lang w:val="en-AU"/>
        </w:rPr>
        <w:t xml:space="preserve"> </w:t>
      </w:r>
    </w:p>
  </w:footnote>
  <w:footnote w:id="9">
    <w:p w14:paraId="657453AE" w14:textId="42F180F8" w:rsidR="00941B92" w:rsidRPr="00BF1A40" w:rsidRDefault="00941B92" w:rsidP="00A91D57">
      <w:pPr>
        <w:pStyle w:val="FootnoteText"/>
        <w:rPr>
          <w:sz w:val="18"/>
          <w:szCs w:val="18"/>
        </w:rPr>
      </w:pPr>
      <w:r w:rsidRPr="00560CDB">
        <w:rPr>
          <w:rStyle w:val="FootnoteReference"/>
          <w:szCs w:val="22"/>
        </w:rPr>
        <w:footnoteRef/>
      </w:r>
      <w:r w:rsidRPr="00BF1A40">
        <w:rPr>
          <w:sz w:val="18"/>
          <w:szCs w:val="18"/>
        </w:rPr>
        <w:t xml:space="preserve"> World Risk Register 2017: https://reliefweb.int/sites/reliefweb.int/files/resources/WRR_2017_E2.pdf</w:t>
      </w:r>
    </w:p>
  </w:footnote>
  <w:footnote w:id="10">
    <w:p w14:paraId="3ABB3971" w14:textId="7A6ABA77" w:rsidR="00941B92" w:rsidRPr="004E390D" w:rsidRDefault="00941B92" w:rsidP="00A91D57">
      <w:pPr>
        <w:pStyle w:val="FootnoteText"/>
        <w:rPr>
          <w:sz w:val="18"/>
          <w:szCs w:val="18"/>
          <w:lang w:val="en-AU"/>
        </w:rPr>
      </w:pPr>
      <w:r w:rsidRPr="00560CDB">
        <w:rPr>
          <w:rStyle w:val="FootnoteReference"/>
          <w:szCs w:val="22"/>
        </w:rPr>
        <w:footnoteRef/>
      </w:r>
      <w:r w:rsidRPr="00BF1A40">
        <w:rPr>
          <w:sz w:val="18"/>
          <w:szCs w:val="18"/>
        </w:rPr>
        <w:t xml:space="preserve"> </w:t>
      </w:r>
      <w:r w:rsidRPr="00BF1A40">
        <w:rPr>
          <w:sz w:val="18"/>
          <w:szCs w:val="18"/>
          <w:lang w:val="en-AU"/>
        </w:rPr>
        <w:t>Leave No One Behind: Disaster Resilience for Sustainable Development, Asia-Pacific Disaster Report 2017, UNESCAP</w:t>
      </w:r>
      <w:r w:rsidRPr="00E35D78">
        <w:rPr>
          <w:sz w:val="18"/>
          <w:szCs w:val="18"/>
          <w:lang w:val="en-AU"/>
        </w:rPr>
        <w:t xml:space="preserve"> http://www.unescap.or</w:t>
      </w:r>
      <w:r w:rsidRPr="004E390D">
        <w:rPr>
          <w:sz w:val="18"/>
          <w:szCs w:val="18"/>
          <w:lang w:val="en-AU"/>
        </w:rPr>
        <w:t>g/publications/asia-pacific-disaster-report-2017</w:t>
      </w:r>
    </w:p>
  </w:footnote>
  <w:footnote w:id="11">
    <w:p w14:paraId="3B9767DD" w14:textId="77777777" w:rsidR="00941B92" w:rsidRPr="00BF1A40" w:rsidRDefault="00941B92" w:rsidP="00A91D57">
      <w:pPr>
        <w:pStyle w:val="FootnoteText"/>
        <w:rPr>
          <w:sz w:val="18"/>
          <w:szCs w:val="18"/>
          <w:lang w:val="en-AU"/>
        </w:rPr>
      </w:pPr>
      <w:r w:rsidRPr="00560CDB">
        <w:rPr>
          <w:rStyle w:val="FootnoteReference"/>
          <w:szCs w:val="22"/>
        </w:rPr>
        <w:footnoteRef/>
      </w:r>
      <w:r w:rsidRPr="00BF1A40">
        <w:rPr>
          <w:sz w:val="18"/>
          <w:szCs w:val="18"/>
        </w:rPr>
        <w:t xml:space="preserve"> Framework for Resilient Development in the Pacific: An Integrated Approach to Address Climate Change and Disaster Risk Management (FRDP) 2017–2030</w:t>
      </w:r>
    </w:p>
  </w:footnote>
  <w:footnote w:id="12">
    <w:p w14:paraId="3A784B86" w14:textId="77777777" w:rsidR="00941B92" w:rsidRPr="004E09BA" w:rsidRDefault="00941B92" w:rsidP="00A91D57">
      <w:pPr>
        <w:pStyle w:val="FootnoteText"/>
        <w:rPr>
          <w:sz w:val="18"/>
          <w:szCs w:val="18"/>
          <w:lang w:val="en-AU"/>
        </w:rPr>
      </w:pPr>
      <w:r w:rsidRPr="00560CDB">
        <w:rPr>
          <w:rStyle w:val="FootnoteReference"/>
          <w:szCs w:val="22"/>
        </w:rPr>
        <w:footnoteRef/>
      </w:r>
      <w:r w:rsidRPr="00560CDB">
        <w:rPr>
          <w:szCs w:val="22"/>
        </w:rPr>
        <w:t xml:space="preserve"> </w:t>
      </w:r>
      <w:r w:rsidRPr="00BF1A40">
        <w:rPr>
          <w:sz w:val="18"/>
          <w:szCs w:val="18"/>
        </w:rPr>
        <w:t>The World Bank, The Sendai Report: Managing Disaster Risks for a Resilient Future, 2012, p.4.</w:t>
      </w:r>
    </w:p>
  </w:footnote>
  <w:footnote w:id="13">
    <w:p w14:paraId="33F61D09" w14:textId="71C94DB8" w:rsidR="00941B92" w:rsidRPr="00B11638" w:rsidRDefault="00941B92" w:rsidP="00A91D57">
      <w:pPr>
        <w:pStyle w:val="FootnoteText"/>
        <w:rPr>
          <w:sz w:val="18"/>
          <w:szCs w:val="18"/>
          <w:lang w:val="en-AU"/>
        </w:rPr>
      </w:pPr>
      <w:r w:rsidRPr="00BF1A40">
        <w:rPr>
          <w:sz w:val="18"/>
          <w:szCs w:val="18"/>
        </w:rPr>
        <w:t>http://dfat.gov.au/aid/topics/investment-priorities/building-resilience/drr/Pages/disaster-risk-reduction-and-resilience.aspx</w:t>
      </w:r>
    </w:p>
  </w:footnote>
  <w:footnote w:id="14">
    <w:p w14:paraId="03C4B572" w14:textId="775054CD" w:rsidR="00941B92" w:rsidRPr="004E390D" w:rsidRDefault="00941B92" w:rsidP="00A91D57">
      <w:pPr>
        <w:rPr>
          <w:sz w:val="18"/>
          <w:szCs w:val="18"/>
        </w:rPr>
      </w:pPr>
      <w:r w:rsidRPr="00560CDB">
        <w:rPr>
          <w:rStyle w:val="FootnoteReference"/>
        </w:rPr>
        <w:footnoteRef/>
      </w:r>
      <w:r w:rsidRPr="00BF1A40">
        <w:rPr>
          <w:sz w:val="18"/>
          <w:szCs w:val="18"/>
        </w:rPr>
        <w:t xml:space="preserve"> </w:t>
      </w:r>
      <w:r w:rsidRPr="004E09BA">
        <w:rPr>
          <w:sz w:val="18"/>
          <w:szCs w:val="18"/>
        </w:rPr>
        <w:t>CBM-</w:t>
      </w:r>
      <w:proofErr w:type="spellStart"/>
      <w:r w:rsidRPr="004E390D">
        <w:rPr>
          <w:sz w:val="18"/>
          <w:szCs w:val="18"/>
        </w:rPr>
        <w:t>Nossal</w:t>
      </w:r>
      <w:proofErr w:type="spellEnd"/>
      <w:r w:rsidRPr="004E390D">
        <w:rPr>
          <w:sz w:val="18"/>
          <w:szCs w:val="18"/>
        </w:rPr>
        <w:t xml:space="preserve"> Institute Partnership for Disability Inclusive Development, Disability Inclusion in Disaster Risk Reduction (2017)</w:t>
      </w:r>
    </w:p>
  </w:footnote>
  <w:footnote w:id="15">
    <w:p w14:paraId="4640FB44" w14:textId="4BA02D8C" w:rsidR="00941B92" w:rsidRPr="00AE1B0B" w:rsidRDefault="00941B92">
      <w:pPr>
        <w:pStyle w:val="FootnoteText"/>
        <w:rPr>
          <w:sz w:val="18"/>
          <w:szCs w:val="18"/>
        </w:rPr>
      </w:pPr>
      <w:r w:rsidRPr="00E32077">
        <w:rPr>
          <w:rStyle w:val="FootnoteReference"/>
          <w:szCs w:val="22"/>
        </w:rPr>
        <w:footnoteRef/>
      </w:r>
      <w:r w:rsidRPr="00E32077">
        <w:rPr>
          <w:szCs w:val="22"/>
        </w:rPr>
        <w:t xml:space="preserve"> </w:t>
      </w:r>
      <w:r w:rsidRPr="00AE1B0B">
        <w:rPr>
          <w:sz w:val="18"/>
          <w:szCs w:val="18"/>
        </w:rPr>
        <w:t>UNISDR “Disaster Risk Reduction and Resilience in the 2030 Agenda for Sustainable Development” (2015) http://www.unisdr.org/files/46052_disasterriskreductioninthe2030agend.pdf</w:t>
      </w:r>
    </w:p>
  </w:footnote>
  <w:footnote w:id="16">
    <w:p w14:paraId="2C717B5B" w14:textId="60D695F8" w:rsidR="00941B92" w:rsidRPr="003B76F8" w:rsidRDefault="00941B92" w:rsidP="00A91D57">
      <w:pPr>
        <w:pStyle w:val="FootnoteText"/>
        <w:rPr>
          <w:sz w:val="18"/>
          <w:szCs w:val="18"/>
        </w:rPr>
      </w:pPr>
      <w:r w:rsidRPr="00AE1B0B">
        <w:rPr>
          <w:rStyle w:val="FootnoteReference"/>
          <w:szCs w:val="22"/>
        </w:rPr>
        <w:footnoteRef/>
      </w:r>
      <w:r w:rsidRPr="00AE1B0B">
        <w:rPr>
          <w:szCs w:val="22"/>
        </w:rPr>
        <w:t xml:space="preserve"> </w:t>
      </w:r>
      <w:r w:rsidRPr="00BF1A40">
        <w:rPr>
          <w:sz w:val="18"/>
          <w:szCs w:val="18"/>
        </w:rPr>
        <w:t>S</w:t>
      </w:r>
      <w:r w:rsidRPr="004E09BA">
        <w:rPr>
          <w:sz w:val="18"/>
          <w:szCs w:val="18"/>
        </w:rPr>
        <w:t>ee</w:t>
      </w:r>
      <w:r w:rsidRPr="00E35D78">
        <w:rPr>
          <w:sz w:val="18"/>
          <w:szCs w:val="18"/>
        </w:rPr>
        <w:t>,</w:t>
      </w:r>
      <w:r w:rsidRPr="004E390D">
        <w:rPr>
          <w:sz w:val="18"/>
          <w:szCs w:val="18"/>
        </w:rPr>
        <w:t xml:space="preserve"> for example, </w:t>
      </w:r>
      <w:r>
        <w:rPr>
          <w:sz w:val="18"/>
          <w:szCs w:val="18"/>
        </w:rPr>
        <w:t>CARE</w:t>
      </w:r>
      <w:r w:rsidRPr="00BF1A40">
        <w:rPr>
          <w:sz w:val="18"/>
          <w:szCs w:val="18"/>
        </w:rPr>
        <w:t xml:space="preserve"> International “Does Gender Responsive Disaster Risk</w:t>
      </w:r>
      <w:r w:rsidRPr="004E09BA">
        <w:rPr>
          <w:sz w:val="18"/>
          <w:szCs w:val="18"/>
        </w:rPr>
        <w:t xml:space="preserve"> Reduction Make A </w:t>
      </w:r>
      <w:r w:rsidRPr="00E35D78">
        <w:rPr>
          <w:sz w:val="18"/>
          <w:szCs w:val="18"/>
        </w:rPr>
        <w:t>Difference” (2017), World Humanitarian Summit Regional Consultation for the Pacific</w:t>
      </w:r>
      <w:r>
        <w:rPr>
          <w:sz w:val="18"/>
          <w:szCs w:val="18"/>
        </w:rPr>
        <w:t>,</w:t>
      </w:r>
      <w:r w:rsidRPr="00BF1A40">
        <w:rPr>
          <w:sz w:val="18"/>
          <w:szCs w:val="18"/>
        </w:rPr>
        <w:t xml:space="preserve"> Final Report</w:t>
      </w:r>
      <w:r>
        <w:rPr>
          <w:sz w:val="18"/>
          <w:szCs w:val="18"/>
        </w:rPr>
        <w:t>,</w:t>
      </w:r>
      <w:r w:rsidRPr="00BF1A40">
        <w:rPr>
          <w:sz w:val="18"/>
          <w:szCs w:val="18"/>
        </w:rPr>
        <w:t xml:space="preserve"> 2016.</w:t>
      </w:r>
    </w:p>
  </w:footnote>
  <w:footnote w:id="17">
    <w:p w14:paraId="18961A98" w14:textId="23444288" w:rsidR="00941B92" w:rsidRPr="004E390D" w:rsidRDefault="00941B92" w:rsidP="00A91D57">
      <w:pPr>
        <w:pStyle w:val="FootnoteText"/>
        <w:rPr>
          <w:sz w:val="18"/>
          <w:szCs w:val="18"/>
        </w:rPr>
      </w:pPr>
      <w:r w:rsidRPr="000F35C4">
        <w:rPr>
          <w:rStyle w:val="FootnoteReference"/>
          <w:szCs w:val="22"/>
        </w:rPr>
        <w:footnoteRef/>
      </w:r>
      <w:r w:rsidRPr="00BF1A40">
        <w:rPr>
          <w:sz w:val="18"/>
          <w:szCs w:val="18"/>
        </w:rPr>
        <w:t xml:space="preserve"> Griffin, 2016: </w:t>
      </w:r>
      <w:hyperlink r:id="rId1" w:history="1">
        <w:r w:rsidRPr="004E390D">
          <w:rPr>
            <w:sz w:val="18"/>
            <w:szCs w:val="18"/>
          </w:rPr>
          <w:t xml:space="preserve">Independent </w:t>
        </w:r>
        <w:r>
          <w:rPr>
            <w:sz w:val="18"/>
            <w:szCs w:val="18"/>
          </w:rPr>
          <w:t>E</w:t>
        </w:r>
        <w:r w:rsidRPr="004E390D">
          <w:rPr>
            <w:sz w:val="18"/>
            <w:szCs w:val="18"/>
          </w:rPr>
          <w:t>valuation of the Community-based Climate Change Adaptation Grants Program – main evaluation report</w:t>
        </w:r>
      </w:hyperlink>
    </w:p>
  </w:footnote>
  <w:footnote w:id="18">
    <w:p w14:paraId="5186E61A" w14:textId="35906257" w:rsidR="00941B92" w:rsidRPr="004E390D" w:rsidRDefault="00941B92" w:rsidP="00A91D57">
      <w:pPr>
        <w:pStyle w:val="FootnoteText"/>
        <w:rPr>
          <w:sz w:val="18"/>
          <w:szCs w:val="18"/>
        </w:rPr>
      </w:pPr>
      <w:r w:rsidRPr="000F35C4">
        <w:rPr>
          <w:rStyle w:val="FootnoteReference"/>
          <w:szCs w:val="22"/>
        </w:rPr>
        <w:footnoteRef/>
      </w:r>
      <w:r w:rsidRPr="00BF1A40">
        <w:rPr>
          <w:sz w:val="18"/>
          <w:szCs w:val="18"/>
        </w:rPr>
        <w:t xml:space="preserve"> Australian Red Cross</w:t>
      </w:r>
      <w:r w:rsidRPr="004E09BA">
        <w:rPr>
          <w:sz w:val="18"/>
          <w:szCs w:val="18"/>
        </w:rPr>
        <w:t>-</w:t>
      </w:r>
      <w:r w:rsidRPr="004E390D">
        <w:rPr>
          <w:sz w:val="18"/>
          <w:szCs w:val="18"/>
        </w:rPr>
        <w:t xml:space="preserve">DFAT </w:t>
      </w:r>
      <w:proofErr w:type="spellStart"/>
      <w:r w:rsidRPr="004E390D">
        <w:rPr>
          <w:sz w:val="18"/>
          <w:szCs w:val="18"/>
        </w:rPr>
        <w:t>localisation</w:t>
      </w:r>
      <w:proofErr w:type="spellEnd"/>
      <w:r w:rsidRPr="004E390D">
        <w:rPr>
          <w:sz w:val="18"/>
          <w:szCs w:val="18"/>
        </w:rPr>
        <w:t xml:space="preserve"> research 2017</w:t>
      </w:r>
    </w:p>
  </w:footnote>
  <w:footnote w:id="19">
    <w:p w14:paraId="3F3645B8" w14:textId="77777777" w:rsidR="00941B92" w:rsidRPr="001879FE" w:rsidRDefault="00941B92" w:rsidP="00A91D57">
      <w:pPr>
        <w:pStyle w:val="FootnoteText"/>
        <w:rPr>
          <w:sz w:val="18"/>
        </w:rPr>
      </w:pPr>
      <w:r w:rsidRPr="000F35C4">
        <w:rPr>
          <w:rStyle w:val="FootnoteReference"/>
          <w:szCs w:val="22"/>
        </w:rPr>
        <w:footnoteRef/>
      </w:r>
      <w:r w:rsidRPr="000F35C4">
        <w:rPr>
          <w:szCs w:val="22"/>
        </w:rPr>
        <w:t xml:space="preserve"> </w:t>
      </w:r>
      <w:r w:rsidRPr="00BF1A40">
        <w:rPr>
          <w:sz w:val="18"/>
          <w:szCs w:val="18"/>
        </w:rPr>
        <w:t>S. Patel, Going the Extra Mile (2017), Start Fund Bangladesh https://startnetwork.org/resource/going-extra-mile-bangladesh-localisation-review</w:t>
      </w:r>
    </w:p>
  </w:footnote>
  <w:footnote w:id="20">
    <w:p w14:paraId="31A47591" w14:textId="77777777" w:rsidR="00941B92" w:rsidRPr="001879FE" w:rsidRDefault="00941B92" w:rsidP="00202A16">
      <w:pPr>
        <w:pStyle w:val="FootnoteText"/>
        <w:rPr>
          <w:sz w:val="18"/>
        </w:rPr>
      </w:pPr>
      <w:r w:rsidRPr="000F35C4">
        <w:rPr>
          <w:rStyle w:val="FootnoteReference"/>
          <w:szCs w:val="22"/>
        </w:rPr>
        <w:footnoteRef/>
      </w:r>
      <w:r w:rsidRPr="000F35C4">
        <w:rPr>
          <w:szCs w:val="22"/>
        </w:rPr>
        <w:t xml:space="preserve"> </w:t>
      </w:r>
      <w:r w:rsidRPr="002777D1">
        <w:rPr>
          <w:sz w:val="18"/>
        </w:rPr>
        <w:t>Fiji Post Disaster Needs Assessment (May 2016), Government of Fiji</w:t>
      </w:r>
    </w:p>
  </w:footnote>
  <w:footnote w:id="21">
    <w:p w14:paraId="0D3F0A21" w14:textId="0D5EED93" w:rsidR="00941B92" w:rsidRPr="001879FE" w:rsidRDefault="00941B92" w:rsidP="00202A16">
      <w:pPr>
        <w:pStyle w:val="FootnoteText"/>
        <w:rPr>
          <w:sz w:val="18"/>
        </w:rPr>
      </w:pPr>
      <w:r w:rsidRPr="000F35C4">
        <w:rPr>
          <w:rStyle w:val="FootnoteReference"/>
          <w:szCs w:val="22"/>
        </w:rPr>
        <w:footnoteRef/>
      </w:r>
      <w:r w:rsidRPr="002777D1">
        <w:rPr>
          <w:sz w:val="18"/>
        </w:rPr>
        <w:t xml:space="preserve"> Emergency Plan of Action Final Report: </w:t>
      </w:r>
      <w:r>
        <w:rPr>
          <w:sz w:val="18"/>
        </w:rPr>
        <w:t>Timor-Leste</w:t>
      </w:r>
      <w:r w:rsidRPr="002777D1">
        <w:rPr>
          <w:sz w:val="18"/>
        </w:rPr>
        <w:t xml:space="preserve"> Drought (2017) IFRC</w:t>
      </w:r>
    </w:p>
  </w:footnote>
  <w:footnote w:id="22">
    <w:p w14:paraId="46744E48" w14:textId="0DCCE677" w:rsidR="00941B92" w:rsidRPr="002777D1" w:rsidRDefault="00941B92" w:rsidP="00202A16">
      <w:pPr>
        <w:rPr>
          <w:sz w:val="18"/>
        </w:rPr>
      </w:pPr>
      <w:r w:rsidRPr="000F35C4">
        <w:rPr>
          <w:rStyle w:val="FootnoteReference"/>
        </w:rPr>
        <w:footnoteRef/>
      </w:r>
      <w:r w:rsidRPr="000F35C4">
        <w:t xml:space="preserve"> </w:t>
      </w:r>
      <w:r w:rsidRPr="002777D1">
        <w:rPr>
          <w:sz w:val="18"/>
        </w:rPr>
        <w:t>Long</w:t>
      </w:r>
      <w:r>
        <w:rPr>
          <w:sz w:val="18"/>
        </w:rPr>
        <w:t>-</w:t>
      </w:r>
      <w:r w:rsidRPr="002777D1">
        <w:rPr>
          <w:sz w:val="18"/>
        </w:rPr>
        <w:t>term studies have established that investment in DRR has reduced response and recovery costs. See</w:t>
      </w:r>
      <w:r>
        <w:rPr>
          <w:sz w:val="18"/>
        </w:rPr>
        <w:t>,</w:t>
      </w:r>
      <w:r w:rsidRPr="002777D1">
        <w:rPr>
          <w:sz w:val="18"/>
        </w:rPr>
        <w:t xml:space="preserve"> for example</w:t>
      </w:r>
      <w:r>
        <w:rPr>
          <w:sz w:val="18"/>
        </w:rPr>
        <w:t>,</w:t>
      </w:r>
      <w:r w:rsidRPr="002777D1">
        <w:rPr>
          <w:sz w:val="18"/>
        </w:rPr>
        <w:t xml:space="preserve"> Hassan A., Islam A., </w:t>
      </w:r>
      <w:proofErr w:type="spellStart"/>
      <w:r w:rsidRPr="002777D1">
        <w:rPr>
          <w:sz w:val="18"/>
        </w:rPr>
        <w:t>Chakravorty</w:t>
      </w:r>
      <w:proofErr w:type="spellEnd"/>
      <w:r w:rsidRPr="002777D1">
        <w:rPr>
          <w:sz w:val="18"/>
        </w:rPr>
        <w:t xml:space="preserve"> N., Al Hossain B.M.T. (2013) Disaster Risk Reduction Investment and Reduction of Response Cost in Bangladesh. In: Shaw R., Mallick F., Islam A. (</w:t>
      </w:r>
      <w:proofErr w:type="spellStart"/>
      <w:r w:rsidRPr="002777D1">
        <w:rPr>
          <w:sz w:val="18"/>
        </w:rPr>
        <w:t>eds</w:t>
      </w:r>
      <w:proofErr w:type="spellEnd"/>
      <w:r w:rsidRPr="002777D1">
        <w:rPr>
          <w:sz w:val="18"/>
        </w:rPr>
        <w:t>)</w:t>
      </w:r>
      <w:r>
        <w:rPr>
          <w:sz w:val="18"/>
        </w:rPr>
        <w:t>,</w:t>
      </w:r>
      <w:r w:rsidRPr="002777D1">
        <w:rPr>
          <w:sz w:val="18"/>
        </w:rPr>
        <w:t xml:space="preserve"> Disaster Risk Reduction Approaches in Bangladesh. Disaster Risk Reduction (Methods, Approaches and Practices). Springer, Tokyo</w:t>
      </w:r>
    </w:p>
    <w:p w14:paraId="76EC0621" w14:textId="77777777" w:rsidR="00941B92" w:rsidRDefault="00941B92" w:rsidP="00202A16">
      <w:pPr>
        <w:pStyle w:val="FootnoteText"/>
      </w:pPr>
    </w:p>
  </w:footnote>
  <w:footnote w:id="23">
    <w:p w14:paraId="6C159634" w14:textId="77777777" w:rsidR="00941B92" w:rsidRPr="007B64D3" w:rsidRDefault="00941B92" w:rsidP="00B4604B">
      <w:pPr>
        <w:pStyle w:val="FootnoteText"/>
        <w:rPr>
          <w:sz w:val="18"/>
        </w:rPr>
      </w:pPr>
      <w:r w:rsidRPr="000F35C4">
        <w:rPr>
          <w:rStyle w:val="FootnoteReference"/>
          <w:szCs w:val="22"/>
        </w:rPr>
        <w:footnoteRef/>
      </w:r>
      <w:r w:rsidRPr="002777D1">
        <w:rPr>
          <w:sz w:val="18"/>
        </w:rPr>
        <w:t xml:space="preserve"> List of evaluations and reports reviewed is at Annex 5</w:t>
      </w:r>
    </w:p>
  </w:footnote>
  <w:footnote w:id="24">
    <w:p w14:paraId="0C7BA616" w14:textId="08B21057" w:rsidR="00941B92" w:rsidRPr="000F35C4" w:rsidRDefault="00941B92">
      <w:pPr>
        <w:pStyle w:val="FootnoteText"/>
        <w:rPr>
          <w:sz w:val="16"/>
          <w:szCs w:val="16"/>
        </w:rPr>
      </w:pPr>
      <w:r>
        <w:rPr>
          <w:rStyle w:val="FootnoteReference"/>
        </w:rPr>
        <w:footnoteRef/>
      </w:r>
      <w:r>
        <w:t xml:space="preserve"> </w:t>
      </w:r>
      <w:r w:rsidRPr="000F35C4">
        <w:rPr>
          <w:sz w:val="18"/>
          <w:szCs w:val="18"/>
        </w:rPr>
        <w:t xml:space="preserve">Country </w:t>
      </w:r>
      <w:r>
        <w:rPr>
          <w:sz w:val="18"/>
          <w:szCs w:val="18"/>
        </w:rPr>
        <w:t>p</w:t>
      </w:r>
      <w:r w:rsidRPr="000F35C4">
        <w:rPr>
          <w:sz w:val="18"/>
          <w:szCs w:val="18"/>
        </w:rPr>
        <w:t xml:space="preserve">lans map intersecting programs and highlight key programs and </w:t>
      </w:r>
      <w:r w:rsidRPr="000F35C4">
        <w:rPr>
          <w:sz w:val="18"/>
          <w:szCs w:val="18"/>
          <w:lang w:val="en-AU"/>
        </w:rPr>
        <w:t>organisations</w:t>
      </w:r>
      <w:r w:rsidRPr="000F35C4">
        <w:rPr>
          <w:sz w:val="18"/>
          <w:szCs w:val="18"/>
        </w:rPr>
        <w:t xml:space="preserve"> that Disaster READY partners will co-ordinate with.</w:t>
      </w:r>
    </w:p>
  </w:footnote>
  <w:footnote w:id="25">
    <w:p w14:paraId="0DAD1376" w14:textId="560D4F3E" w:rsidR="00941B92" w:rsidRPr="000F35C4" w:rsidRDefault="00941B92">
      <w:pPr>
        <w:pStyle w:val="FootnoteText"/>
        <w:rPr>
          <w:sz w:val="18"/>
          <w:szCs w:val="18"/>
        </w:rPr>
      </w:pPr>
      <w:r>
        <w:rPr>
          <w:rStyle w:val="FootnoteReference"/>
        </w:rPr>
        <w:footnoteRef/>
      </w:r>
      <w:r w:rsidRPr="000F35C4">
        <w:rPr>
          <w:sz w:val="18"/>
          <w:szCs w:val="18"/>
        </w:rPr>
        <w:t>DFAT, Promoting Prosperity, Reducing Poverty, Enhancing Stability (2014) http://dfat.gov.au/about-us/publications/Documents/australian-aid-development-policy.pdf</w:t>
      </w:r>
    </w:p>
  </w:footnote>
  <w:footnote w:id="26">
    <w:p w14:paraId="725D7C3E" w14:textId="77777777" w:rsidR="00941B92" w:rsidRPr="000F35C4" w:rsidRDefault="00941B92" w:rsidP="009D72E9">
      <w:pPr>
        <w:pStyle w:val="FootnoteText"/>
        <w:rPr>
          <w:sz w:val="18"/>
          <w:szCs w:val="18"/>
          <w:lang w:val="en-AU"/>
        </w:rPr>
      </w:pPr>
      <w:r w:rsidRPr="000F35C4">
        <w:rPr>
          <w:rStyle w:val="FootnoteReference"/>
          <w:szCs w:val="22"/>
        </w:rPr>
        <w:footnoteRef/>
      </w:r>
      <w:r w:rsidRPr="000F35C4">
        <w:rPr>
          <w:szCs w:val="22"/>
        </w:rPr>
        <w:t xml:space="preserve"> </w:t>
      </w:r>
      <w:r w:rsidRPr="000F35C4">
        <w:rPr>
          <w:sz w:val="18"/>
          <w:szCs w:val="18"/>
          <w:lang w:val="en-AU"/>
        </w:rPr>
        <w:t>DFAT, Disaster Risk Reduction and Resilience, http://dfat.gov.au/aid/topics/investment-priorities/building-resilience/drr/Pages/disaster-risk-reduction-and-resilience.aspx</w:t>
      </w:r>
    </w:p>
  </w:footnote>
  <w:footnote w:id="27">
    <w:p w14:paraId="08DE370F" w14:textId="77777777" w:rsidR="00941B92" w:rsidRPr="000F35C4" w:rsidRDefault="00941B92" w:rsidP="0037614E">
      <w:pPr>
        <w:pStyle w:val="FootnoteText"/>
        <w:rPr>
          <w:sz w:val="18"/>
          <w:szCs w:val="18"/>
        </w:rPr>
      </w:pPr>
      <w:r w:rsidRPr="000F35C4">
        <w:rPr>
          <w:rStyle w:val="FootnoteReference"/>
          <w:szCs w:val="22"/>
        </w:rPr>
        <w:footnoteRef/>
      </w:r>
      <w:r w:rsidRPr="000F35C4">
        <w:rPr>
          <w:szCs w:val="22"/>
        </w:rPr>
        <w:t xml:space="preserve"> </w:t>
      </w:r>
      <w:r w:rsidRPr="000F35C4">
        <w:rPr>
          <w:sz w:val="18"/>
          <w:szCs w:val="18"/>
        </w:rPr>
        <w:t>DFAT Humanitarian Strategy (May 2016), http://dfat.gov.au/about-us/publications/Pages/humanitarian-strategy.aspx</w:t>
      </w:r>
    </w:p>
  </w:footnote>
  <w:footnote w:id="28">
    <w:p w14:paraId="7192B16B" w14:textId="77777777" w:rsidR="00941B92" w:rsidRPr="003B76F8" w:rsidRDefault="00941B92" w:rsidP="003500AE">
      <w:pPr>
        <w:pStyle w:val="FootnoteText"/>
        <w:rPr>
          <w:sz w:val="16"/>
        </w:rPr>
      </w:pPr>
      <w:r w:rsidRPr="000F35C4">
        <w:rPr>
          <w:rStyle w:val="FootnoteReference"/>
          <w:szCs w:val="22"/>
        </w:rPr>
        <w:footnoteRef/>
      </w:r>
      <w:r w:rsidRPr="000F35C4">
        <w:rPr>
          <w:szCs w:val="22"/>
        </w:rPr>
        <w:t xml:space="preserve"> </w:t>
      </w:r>
      <w:r w:rsidRPr="000F35C4">
        <w:rPr>
          <w:sz w:val="18"/>
          <w:szCs w:val="18"/>
        </w:rPr>
        <w:t>DFAT Pacific Humanitarian Strategy (Draft 2017)</w:t>
      </w:r>
    </w:p>
  </w:footnote>
  <w:footnote w:id="29">
    <w:p w14:paraId="46D74F7E" w14:textId="63874F01" w:rsidR="00941B92" w:rsidRPr="00AE1B0B" w:rsidRDefault="00941B92">
      <w:pPr>
        <w:pStyle w:val="FootnoteText"/>
        <w:rPr>
          <w:sz w:val="18"/>
          <w:szCs w:val="18"/>
        </w:rPr>
      </w:pPr>
      <w:r w:rsidRPr="00BF1A40">
        <w:rPr>
          <w:rStyle w:val="FootnoteReference"/>
          <w:szCs w:val="22"/>
        </w:rPr>
        <w:footnoteRef/>
      </w:r>
      <w:r w:rsidRPr="000F35C4">
        <w:rPr>
          <w:sz w:val="18"/>
          <w:szCs w:val="18"/>
        </w:rPr>
        <w:t xml:space="preserve"> Complementary DFAT investments include: Australian Red Cross partnership supporting national </w:t>
      </w:r>
      <w:r w:rsidRPr="00FE36B2">
        <w:rPr>
          <w:sz w:val="18"/>
          <w:szCs w:val="18"/>
        </w:rPr>
        <w:t>R</w:t>
      </w:r>
      <w:r w:rsidRPr="00AE1B0B">
        <w:rPr>
          <w:sz w:val="18"/>
          <w:szCs w:val="18"/>
        </w:rPr>
        <w:t xml:space="preserve">ed </w:t>
      </w:r>
      <w:r w:rsidRPr="00FE36B2">
        <w:rPr>
          <w:sz w:val="18"/>
          <w:szCs w:val="18"/>
        </w:rPr>
        <w:t>C</w:t>
      </w:r>
      <w:r w:rsidRPr="00AE1B0B">
        <w:rPr>
          <w:sz w:val="18"/>
          <w:szCs w:val="18"/>
        </w:rPr>
        <w:t xml:space="preserve">ross societies; </w:t>
      </w:r>
      <w:r>
        <w:rPr>
          <w:sz w:val="18"/>
          <w:szCs w:val="18"/>
        </w:rPr>
        <w:t xml:space="preserve">and </w:t>
      </w:r>
      <w:r w:rsidRPr="00AE1B0B">
        <w:rPr>
          <w:sz w:val="18"/>
          <w:szCs w:val="18"/>
        </w:rPr>
        <w:t xml:space="preserve">Australia Assists, delivered by </w:t>
      </w:r>
      <w:proofErr w:type="spellStart"/>
      <w:r w:rsidRPr="00AE1B0B">
        <w:rPr>
          <w:sz w:val="18"/>
          <w:szCs w:val="18"/>
        </w:rPr>
        <w:t>RedR</w:t>
      </w:r>
      <w:proofErr w:type="spellEnd"/>
      <w:r w:rsidRPr="00AE1B0B">
        <w:rPr>
          <w:sz w:val="18"/>
          <w:szCs w:val="18"/>
        </w:rPr>
        <w:t>, to deploy short</w:t>
      </w:r>
      <w:r w:rsidRPr="00FE36B2">
        <w:rPr>
          <w:sz w:val="18"/>
          <w:szCs w:val="18"/>
        </w:rPr>
        <w:t>-</w:t>
      </w:r>
      <w:r>
        <w:rPr>
          <w:sz w:val="18"/>
          <w:szCs w:val="18"/>
        </w:rPr>
        <w:t>term</w:t>
      </w:r>
      <w:r w:rsidRPr="00AE1B0B">
        <w:rPr>
          <w:sz w:val="18"/>
          <w:szCs w:val="18"/>
        </w:rPr>
        <w:t xml:space="preserve"> and </w:t>
      </w:r>
      <w:r w:rsidRPr="00FE36B2">
        <w:rPr>
          <w:sz w:val="18"/>
          <w:szCs w:val="18"/>
        </w:rPr>
        <w:t>long-term</w:t>
      </w:r>
      <w:r w:rsidRPr="00AE1B0B">
        <w:rPr>
          <w:sz w:val="18"/>
          <w:szCs w:val="18"/>
        </w:rPr>
        <w:t xml:space="preserve"> technical specialists to governments, the UN and regional </w:t>
      </w:r>
      <w:proofErr w:type="spellStart"/>
      <w:r>
        <w:rPr>
          <w:sz w:val="18"/>
          <w:szCs w:val="18"/>
        </w:rPr>
        <w:t>organisations</w:t>
      </w:r>
      <w:proofErr w:type="spellEnd"/>
      <w:r>
        <w:rPr>
          <w:sz w:val="18"/>
          <w:szCs w:val="18"/>
        </w:rPr>
        <w:t>.</w:t>
      </w:r>
      <w:r w:rsidRPr="00AE1B0B">
        <w:rPr>
          <w:sz w:val="18"/>
          <w:szCs w:val="18"/>
        </w:rPr>
        <w:t xml:space="preserve"> </w:t>
      </w:r>
    </w:p>
  </w:footnote>
  <w:footnote w:id="30">
    <w:p w14:paraId="5EAA1FEA" w14:textId="77777777" w:rsidR="00941B92" w:rsidRPr="00AE1B0B" w:rsidRDefault="00941B92" w:rsidP="003500AE">
      <w:pPr>
        <w:pStyle w:val="FootnoteText"/>
        <w:rPr>
          <w:sz w:val="18"/>
          <w:szCs w:val="18"/>
          <w:lang w:val="en-AU"/>
        </w:rPr>
      </w:pPr>
      <w:r w:rsidRPr="00AE1B0B">
        <w:rPr>
          <w:rStyle w:val="FootnoteReference"/>
          <w:szCs w:val="22"/>
        </w:rPr>
        <w:footnoteRef/>
      </w:r>
      <w:r w:rsidRPr="00AE1B0B">
        <w:rPr>
          <w:szCs w:val="22"/>
        </w:rPr>
        <w:t xml:space="preserve"> </w:t>
      </w:r>
      <w:r w:rsidRPr="00AE1B0B">
        <w:rPr>
          <w:sz w:val="18"/>
          <w:szCs w:val="18"/>
          <w:lang w:val="en-AU"/>
        </w:rPr>
        <w:t>The DFAT Humanitarian Partnership Agreement was the precursor to the AHP.</w:t>
      </w:r>
    </w:p>
  </w:footnote>
  <w:footnote w:id="31">
    <w:p w14:paraId="3F973C15" w14:textId="58EEC40F" w:rsidR="00941B92" w:rsidRPr="000F35C4" w:rsidRDefault="00941B92" w:rsidP="003500AE">
      <w:pPr>
        <w:pStyle w:val="FootnoteText"/>
        <w:rPr>
          <w:rStyle w:val="FootnoteReference"/>
          <w:sz w:val="18"/>
          <w:szCs w:val="18"/>
        </w:rPr>
      </w:pPr>
      <w:r w:rsidRPr="00AE1B0B">
        <w:rPr>
          <w:rStyle w:val="FootnoteReference"/>
          <w:szCs w:val="22"/>
        </w:rPr>
        <w:footnoteRef/>
      </w:r>
      <w:r w:rsidRPr="00AE1B0B">
        <w:rPr>
          <w:rStyle w:val="FootnoteReference"/>
          <w:sz w:val="18"/>
          <w:szCs w:val="18"/>
        </w:rPr>
        <w:t xml:space="preserve"> </w:t>
      </w:r>
      <w:r w:rsidRPr="00AE1B0B">
        <w:rPr>
          <w:sz w:val="18"/>
          <w:szCs w:val="18"/>
          <w:lang w:val="en-AU"/>
        </w:rPr>
        <w:t>As also noted in the AHP Investment Design</w:t>
      </w:r>
      <w:r>
        <w:rPr>
          <w:sz w:val="18"/>
          <w:szCs w:val="18"/>
          <w:lang w:val="en-AU"/>
        </w:rPr>
        <w:t>,</w:t>
      </w:r>
      <w:r w:rsidRPr="000F35C4">
        <w:rPr>
          <w:sz w:val="18"/>
          <w:szCs w:val="18"/>
          <w:lang w:val="en-AU"/>
        </w:rPr>
        <w:t xml:space="preserve"> May 2016 Annex 8 Risk Register</w:t>
      </w:r>
      <w:r>
        <w:rPr>
          <w:sz w:val="18"/>
          <w:szCs w:val="18"/>
          <w:lang w:val="en-AU"/>
        </w:rPr>
        <w:t>;</w:t>
      </w:r>
      <w:r w:rsidRPr="000F35C4">
        <w:rPr>
          <w:sz w:val="18"/>
          <w:szCs w:val="18"/>
          <w:lang w:val="en-AU"/>
        </w:rPr>
        <w:t xml:space="preserve"> see risks 1 and 2.</w:t>
      </w:r>
    </w:p>
  </w:footnote>
  <w:footnote w:id="32">
    <w:p w14:paraId="4FBCDBF3" w14:textId="46DF63E3" w:rsidR="00941B92" w:rsidRPr="003B76F8" w:rsidRDefault="00941B92" w:rsidP="009B2AA2">
      <w:pPr>
        <w:pStyle w:val="FootnoteText"/>
        <w:rPr>
          <w:sz w:val="18"/>
        </w:rPr>
      </w:pPr>
      <w:r w:rsidRPr="000F35C4">
        <w:rPr>
          <w:rStyle w:val="FootnoteReference"/>
          <w:szCs w:val="22"/>
        </w:rPr>
        <w:footnoteRef/>
      </w:r>
      <w:r w:rsidRPr="000F35C4">
        <w:rPr>
          <w:sz w:val="18"/>
          <w:szCs w:val="18"/>
        </w:rPr>
        <w:t xml:space="preserve"> World Risk Register 2017: https://reliefweb.int/sites/reliefweb.int/files/resources/WRR_2017_E2.pdf</w:t>
      </w:r>
    </w:p>
  </w:footnote>
  <w:footnote w:id="33">
    <w:p w14:paraId="1290ECD1" w14:textId="073BB61B" w:rsidR="00941B92" w:rsidRPr="002A3FE4" w:rsidRDefault="00941B92" w:rsidP="009B2AA2">
      <w:pPr>
        <w:pStyle w:val="FootnoteText"/>
        <w:rPr>
          <w:sz w:val="14"/>
          <w:lang w:val="en-AU"/>
        </w:rPr>
      </w:pPr>
      <w:r w:rsidRPr="000F35C4">
        <w:rPr>
          <w:rStyle w:val="FootnoteReference"/>
          <w:szCs w:val="22"/>
        </w:rPr>
        <w:footnoteRef/>
      </w:r>
      <w:r w:rsidRPr="000F35C4">
        <w:rPr>
          <w:szCs w:val="22"/>
        </w:rPr>
        <w:t xml:space="preserve"> </w:t>
      </w:r>
      <w:r w:rsidRPr="000F35C4">
        <w:rPr>
          <w:sz w:val="18"/>
          <w:szCs w:val="18"/>
        </w:rPr>
        <w:t xml:space="preserve"> Framework for Resilient Development in the Pacific, Pacific Community (SPC), Secretariat of the Pacific Regional Environment </w:t>
      </w:r>
      <w:proofErr w:type="spellStart"/>
      <w:r w:rsidRPr="000F35C4">
        <w:rPr>
          <w:sz w:val="18"/>
          <w:szCs w:val="18"/>
        </w:rPr>
        <w:t>Programme</w:t>
      </w:r>
      <w:proofErr w:type="spellEnd"/>
      <w:r w:rsidRPr="000F35C4">
        <w:rPr>
          <w:sz w:val="18"/>
          <w:szCs w:val="18"/>
        </w:rPr>
        <w:t xml:space="preserve"> (SPREP), </w:t>
      </w:r>
      <w:r>
        <w:rPr>
          <w:sz w:val="18"/>
          <w:szCs w:val="18"/>
        </w:rPr>
        <w:t>Pacific Islands</w:t>
      </w:r>
      <w:r w:rsidRPr="000F35C4">
        <w:rPr>
          <w:sz w:val="18"/>
          <w:szCs w:val="18"/>
        </w:rPr>
        <w:t xml:space="preserve"> Forum Secretariat (PIFS), United Nations Development </w:t>
      </w:r>
      <w:proofErr w:type="spellStart"/>
      <w:r w:rsidRPr="000F35C4">
        <w:rPr>
          <w:sz w:val="18"/>
          <w:szCs w:val="18"/>
        </w:rPr>
        <w:t>Programme</w:t>
      </w:r>
      <w:proofErr w:type="spellEnd"/>
      <w:r w:rsidRPr="000F35C4">
        <w:rPr>
          <w:sz w:val="18"/>
          <w:szCs w:val="18"/>
        </w:rPr>
        <w:t xml:space="preserve"> (UNDP), United Nations Office for Disaster Risk Reduction (UNISDR) and University of the South</w:t>
      </w:r>
      <w:r>
        <w:rPr>
          <w:sz w:val="18"/>
          <w:szCs w:val="18"/>
        </w:rPr>
        <w:t xml:space="preserve"> </w:t>
      </w:r>
      <w:r w:rsidRPr="000F35C4">
        <w:rPr>
          <w:sz w:val="18"/>
          <w:szCs w:val="18"/>
        </w:rPr>
        <w:t>Pacific (USP), 2016, pg35</w:t>
      </w:r>
    </w:p>
  </w:footnote>
  <w:footnote w:id="34">
    <w:p w14:paraId="65A57973" w14:textId="18C5D93E" w:rsidR="00941B92" w:rsidRPr="000F35C4" w:rsidRDefault="00941B92" w:rsidP="00985CA6">
      <w:pPr>
        <w:spacing w:before="0" w:after="0"/>
        <w:rPr>
          <w:sz w:val="20"/>
        </w:rPr>
      </w:pPr>
      <w:r w:rsidRPr="00BF1A40">
        <w:rPr>
          <w:rStyle w:val="FootnoteReference"/>
          <w:sz w:val="20"/>
        </w:rPr>
        <w:footnoteRef/>
      </w:r>
      <w:r w:rsidRPr="00BF1A40">
        <w:rPr>
          <w:sz w:val="20"/>
        </w:rPr>
        <w:t xml:space="preserve"> </w:t>
      </w:r>
      <w:r w:rsidRPr="004E09BA">
        <w:rPr>
          <w:sz w:val="18"/>
          <w:lang w:val="en-AU"/>
        </w:rPr>
        <w:t>NB</w:t>
      </w:r>
      <w:r w:rsidRPr="00E35D78">
        <w:rPr>
          <w:sz w:val="18"/>
          <w:lang w:val="en-AU"/>
        </w:rPr>
        <w:t>:</w:t>
      </w:r>
      <w:r w:rsidRPr="00FE36B2">
        <w:rPr>
          <w:sz w:val="18"/>
          <w:lang w:val="en-AU"/>
        </w:rPr>
        <w:t xml:space="preserve"> This was revised from the original purpose statement in the AHP design document: </w:t>
      </w:r>
      <w:r>
        <w:rPr>
          <w:sz w:val="18"/>
          <w:lang w:val="en-AU"/>
        </w:rPr>
        <w:t>“</w:t>
      </w:r>
      <w:r w:rsidRPr="000F35C4">
        <w:rPr>
          <w:sz w:val="18"/>
        </w:rPr>
        <w:t>Local humanitarian capability in the Pacific is strengthened to anticipate, prepare for, respond to and reduce risks from natural hazards; and Pacific communities are more resilient to the impacts of natural hazards.</w:t>
      </w:r>
      <w:r>
        <w:rPr>
          <w:sz w:val="18"/>
        </w:rPr>
        <w:t>”</w:t>
      </w:r>
    </w:p>
  </w:footnote>
  <w:footnote w:id="35">
    <w:p w14:paraId="7633A4B4" w14:textId="2921A390" w:rsidR="00941B92" w:rsidRDefault="00941B92" w:rsidP="00EA1A98">
      <w:pPr>
        <w:rPr>
          <w:rFonts w:eastAsia="SimSun"/>
          <w:color w:val="3C3C3C" w:themeColor="background2" w:themeShade="40"/>
          <w:lang w:val="en-AU"/>
        </w:rPr>
      </w:pPr>
      <w:r w:rsidRPr="00BF1A40">
        <w:rPr>
          <w:rStyle w:val="FootnoteReference"/>
        </w:rPr>
        <w:footnoteRef/>
      </w:r>
      <w:r w:rsidRPr="00BF1A40">
        <w:t xml:space="preserve"> </w:t>
      </w:r>
      <w:r w:rsidRPr="00AE1B0B">
        <w:rPr>
          <w:sz w:val="18"/>
          <w:szCs w:val="18"/>
        </w:rPr>
        <w:t>“</w:t>
      </w:r>
      <w:r w:rsidRPr="0082391C">
        <w:rPr>
          <w:rFonts w:eastAsia="SimSun"/>
          <w:color w:val="3C3C3C" w:themeColor="background2" w:themeShade="40"/>
          <w:sz w:val="18"/>
          <w:szCs w:val="18"/>
          <w:lang w:val="en-AU"/>
        </w:rPr>
        <w:t>National NGOs</w:t>
      </w:r>
      <w:r>
        <w:rPr>
          <w:rFonts w:eastAsia="SimSun"/>
          <w:color w:val="3C3C3C" w:themeColor="background2" w:themeShade="40"/>
          <w:sz w:val="18"/>
          <w:szCs w:val="18"/>
          <w:lang w:val="en-AU"/>
        </w:rPr>
        <w:t>”</w:t>
      </w:r>
      <w:r w:rsidRPr="0082391C">
        <w:rPr>
          <w:rFonts w:eastAsia="SimSun"/>
          <w:color w:val="3C3C3C" w:themeColor="background2" w:themeShade="40"/>
          <w:sz w:val="18"/>
          <w:szCs w:val="18"/>
          <w:lang w:val="en-AU"/>
        </w:rPr>
        <w:t xml:space="preserve"> includes local NGOs (national, regional and community</w:t>
      </w:r>
      <w:r>
        <w:rPr>
          <w:rFonts w:eastAsia="SimSun"/>
          <w:color w:val="3C3C3C" w:themeColor="background2" w:themeShade="40"/>
          <w:sz w:val="18"/>
          <w:szCs w:val="18"/>
          <w:lang w:val="en-AU"/>
        </w:rPr>
        <w:t>-</w:t>
      </w:r>
      <w:r w:rsidRPr="0082391C">
        <w:rPr>
          <w:rFonts w:eastAsia="SimSun"/>
          <w:color w:val="3C3C3C" w:themeColor="background2" w:themeShade="40"/>
          <w:sz w:val="18"/>
          <w:szCs w:val="18"/>
          <w:lang w:val="en-AU"/>
        </w:rPr>
        <w:t>based), and national offices of international NGOs (including national offices of AHP NGOs).</w:t>
      </w:r>
    </w:p>
    <w:p w14:paraId="1B9CFF60" w14:textId="549F169F" w:rsidR="00941B92" w:rsidRDefault="00941B92">
      <w:pPr>
        <w:pStyle w:val="FootnoteText"/>
      </w:pPr>
    </w:p>
  </w:footnote>
  <w:footnote w:id="36">
    <w:p w14:paraId="384C6112" w14:textId="4F3B8B43" w:rsidR="00941B92" w:rsidRPr="001879FE" w:rsidRDefault="00941B92" w:rsidP="00E94AC3">
      <w:pPr>
        <w:pStyle w:val="FootnoteText"/>
        <w:rPr>
          <w:sz w:val="18"/>
        </w:rPr>
      </w:pPr>
      <w:r w:rsidRPr="0082391C">
        <w:rPr>
          <w:rStyle w:val="FootnoteReference"/>
          <w:szCs w:val="22"/>
        </w:rPr>
        <w:footnoteRef/>
      </w:r>
      <w:r w:rsidRPr="002777D1">
        <w:rPr>
          <w:sz w:val="18"/>
        </w:rPr>
        <w:t xml:space="preserve"> E.g. PNG: Ward Development Committees</w:t>
      </w:r>
      <w:r>
        <w:rPr>
          <w:sz w:val="18"/>
        </w:rPr>
        <w:t xml:space="preserve">; </w:t>
      </w:r>
      <w:r w:rsidRPr="002777D1">
        <w:rPr>
          <w:sz w:val="18"/>
        </w:rPr>
        <w:t>Vanuatu: Community Disaster and Climate Change Committees</w:t>
      </w:r>
    </w:p>
  </w:footnote>
  <w:footnote w:id="37">
    <w:p w14:paraId="6534D0F2" w14:textId="77777777" w:rsidR="00941B92" w:rsidRPr="001879FE" w:rsidRDefault="00941B92" w:rsidP="00E94AC3">
      <w:pPr>
        <w:pStyle w:val="FootnoteText"/>
        <w:rPr>
          <w:sz w:val="18"/>
        </w:rPr>
      </w:pPr>
      <w:r w:rsidRPr="0082391C">
        <w:rPr>
          <w:rStyle w:val="FootnoteReference"/>
          <w:szCs w:val="22"/>
        </w:rPr>
        <w:footnoteRef/>
      </w:r>
      <w:r w:rsidRPr="002777D1">
        <w:rPr>
          <w:sz w:val="18"/>
        </w:rPr>
        <w:t xml:space="preserve"> E.g. Vanuatu ‘provincial and area’.</w:t>
      </w:r>
    </w:p>
  </w:footnote>
  <w:footnote w:id="38">
    <w:p w14:paraId="3640B2D9" w14:textId="3A5A7B62" w:rsidR="00941B92" w:rsidRPr="001879FE" w:rsidRDefault="00941B92" w:rsidP="00E94AC3">
      <w:pPr>
        <w:pStyle w:val="FootnoteText"/>
        <w:rPr>
          <w:sz w:val="18"/>
        </w:rPr>
      </w:pPr>
      <w:r w:rsidRPr="0082391C">
        <w:rPr>
          <w:rStyle w:val="FootnoteReference"/>
          <w:szCs w:val="22"/>
        </w:rPr>
        <w:footnoteRef/>
      </w:r>
      <w:r w:rsidRPr="0082391C">
        <w:rPr>
          <w:szCs w:val="22"/>
        </w:rPr>
        <w:t xml:space="preserve"> </w:t>
      </w:r>
      <w:r w:rsidRPr="002777D1">
        <w:rPr>
          <w:sz w:val="18"/>
        </w:rPr>
        <w:t xml:space="preserve">Fiji </w:t>
      </w:r>
      <w:r>
        <w:rPr>
          <w:sz w:val="18"/>
        </w:rPr>
        <w:t>will</w:t>
      </w:r>
      <w:r w:rsidRPr="002777D1">
        <w:rPr>
          <w:sz w:val="18"/>
        </w:rPr>
        <w:t xml:space="preserve"> also include LGBTQI in this and the following two indicators</w:t>
      </w:r>
      <w:r>
        <w:rPr>
          <w:sz w:val="18"/>
        </w:rPr>
        <w:t xml:space="preserve"> (2.2 and 2.3)</w:t>
      </w:r>
      <w:r w:rsidRPr="002777D1">
        <w:rPr>
          <w:sz w:val="18"/>
        </w:rPr>
        <w:t>.</w:t>
      </w:r>
    </w:p>
  </w:footnote>
  <w:footnote w:id="39">
    <w:p w14:paraId="6B1A0DFD" w14:textId="3C3C239C" w:rsidR="00941B92" w:rsidRPr="00191D25" w:rsidRDefault="00941B92" w:rsidP="00E94AC3">
      <w:pPr>
        <w:pStyle w:val="FootnoteText"/>
      </w:pPr>
      <w:r w:rsidRPr="0082391C">
        <w:rPr>
          <w:rStyle w:val="FootnoteReference"/>
          <w:szCs w:val="22"/>
        </w:rPr>
        <w:footnoteRef/>
      </w:r>
      <w:r w:rsidRPr="002777D1">
        <w:rPr>
          <w:sz w:val="18"/>
        </w:rPr>
        <w:t xml:space="preserve"> In PNG </w:t>
      </w:r>
      <w:r>
        <w:rPr>
          <w:sz w:val="18"/>
        </w:rPr>
        <w:t>these are</w:t>
      </w:r>
      <w:r w:rsidRPr="002777D1">
        <w:rPr>
          <w:sz w:val="18"/>
        </w:rPr>
        <w:t xml:space="preserve"> ward and provincial level planning processes, rather than a specific disaster committee.</w:t>
      </w:r>
    </w:p>
  </w:footnote>
  <w:footnote w:id="40">
    <w:p w14:paraId="619796F9" w14:textId="27E2F77A" w:rsidR="00941B92" w:rsidRPr="003B76F8" w:rsidRDefault="00941B92" w:rsidP="00E94AC3">
      <w:pPr>
        <w:pStyle w:val="FootnoteText"/>
        <w:rPr>
          <w:sz w:val="18"/>
        </w:rPr>
      </w:pPr>
      <w:r w:rsidRPr="0082391C">
        <w:rPr>
          <w:rStyle w:val="FootnoteReference"/>
          <w:szCs w:val="22"/>
        </w:rPr>
        <w:footnoteRef/>
      </w:r>
      <w:r w:rsidRPr="003B76F8">
        <w:rPr>
          <w:sz w:val="18"/>
        </w:rPr>
        <w:t xml:space="preserve"> </w:t>
      </w:r>
      <w:r>
        <w:rPr>
          <w:sz w:val="18"/>
        </w:rPr>
        <w:t xml:space="preserve">Each country has a specific disaster management structure including committees and these are specified in country plans </w:t>
      </w:r>
      <w:r w:rsidRPr="003B76F8">
        <w:rPr>
          <w:sz w:val="18"/>
        </w:rPr>
        <w:t>E.g. in Vanuatu</w:t>
      </w:r>
      <w:r>
        <w:rPr>
          <w:sz w:val="18"/>
        </w:rPr>
        <w:t>,</w:t>
      </w:r>
      <w:r w:rsidRPr="003B76F8">
        <w:rPr>
          <w:sz w:val="18"/>
        </w:rPr>
        <w:t xml:space="preserve"> this is the provincial government. </w:t>
      </w:r>
    </w:p>
  </w:footnote>
  <w:footnote w:id="41">
    <w:p w14:paraId="169680F6" w14:textId="6A2EFCAC" w:rsidR="00941B92" w:rsidRPr="00E04824" w:rsidRDefault="00941B92" w:rsidP="004414C0">
      <w:pPr>
        <w:pStyle w:val="FootnoteText"/>
        <w:rPr>
          <w:sz w:val="18"/>
          <w:szCs w:val="18"/>
        </w:rPr>
      </w:pPr>
      <w:r>
        <w:rPr>
          <w:rStyle w:val="FootnoteReference"/>
        </w:rPr>
        <w:footnoteRef/>
      </w:r>
      <w:r>
        <w:t xml:space="preserve"> </w:t>
      </w:r>
      <w:r w:rsidRPr="00E04824">
        <w:rPr>
          <w:sz w:val="18"/>
          <w:szCs w:val="18"/>
        </w:rPr>
        <w:t xml:space="preserve">Independent experts </w:t>
      </w:r>
      <w:r>
        <w:rPr>
          <w:sz w:val="18"/>
          <w:szCs w:val="18"/>
        </w:rPr>
        <w:t>will</w:t>
      </w:r>
      <w:r w:rsidRPr="00E04824">
        <w:rPr>
          <w:sz w:val="18"/>
          <w:szCs w:val="18"/>
        </w:rPr>
        <w:t xml:space="preserve"> be required to be neutral from </w:t>
      </w:r>
      <w:proofErr w:type="spellStart"/>
      <w:r w:rsidRPr="00E04824">
        <w:rPr>
          <w:sz w:val="18"/>
          <w:szCs w:val="18"/>
        </w:rPr>
        <w:t>organisations</w:t>
      </w:r>
      <w:proofErr w:type="spellEnd"/>
      <w:r w:rsidRPr="00E04824">
        <w:rPr>
          <w:sz w:val="18"/>
          <w:szCs w:val="18"/>
        </w:rPr>
        <w:t xml:space="preserve"> such as the HAG, the Red Cross and </w:t>
      </w:r>
      <w:proofErr w:type="spellStart"/>
      <w:r w:rsidRPr="00E04824">
        <w:rPr>
          <w:sz w:val="18"/>
          <w:szCs w:val="18"/>
        </w:rPr>
        <w:t>RedR</w:t>
      </w:r>
      <w:proofErr w:type="spellEnd"/>
      <w:r w:rsidRPr="00E04824">
        <w:rPr>
          <w:sz w:val="18"/>
          <w:szCs w:val="18"/>
        </w:rPr>
        <w:t>.</w:t>
      </w:r>
    </w:p>
  </w:footnote>
  <w:footnote w:id="42">
    <w:p w14:paraId="3659CC1B" w14:textId="77777777" w:rsidR="00941B92" w:rsidRPr="002777D1" w:rsidRDefault="00941B92" w:rsidP="009B2AA2">
      <w:pPr>
        <w:pStyle w:val="FootnoteText"/>
        <w:rPr>
          <w:sz w:val="18"/>
          <w:szCs w:val="18"/>
          <w:lang w:val="en-AU"/>
        </w:rPr>
      </w:pPr>
      <w:r>
        <w:rPr>
          <w:rStyle w:val="FootnoteReference"/>
        </w:rPr>
        <w:footnoteRef/>
      </w:r>
      <w:r>
        <w:t xml:space="preserve"> </w:t>
      </w:r>
      <w:r w:rsidRPr="002777D1">
        <w:rPr>
          <w:color w:val="3C3C3C" w:themeColor="background2" w:themeShade="40"/>
          <w:sz w:val="18"/>
          <w:szCs w:val="18"/>
        </w:rPr>
        <w:t>Depending on delegation required, this will be either the First Assistant Secretary, Humanitarian, NGOs and Partnership Division or the Assistant Secretary, Humanitarian Response, Risk and Recovery Branch.</w:t>
      </w:r>
    </w:p>
  </w:footnote>
  <w:footnote w:id="43">
    <w:p w14:paraId="68258C09" w14:textId="31BCB058" w:rsidR="00941B92" w:rsidRPr="0082391C" w:rsidRDefault="00941B92">
      <w:pPr>
        <w:pStyle w:val="FootnoteText"/>
        <w:rPr>
          <w:sz w:val="18"/>
          <w:szCs w:val="18"/>
        </w:rPr>
      </w:pPr>
      <w:r>
        <w:rPr>
          <w:rStyle w:val="FootnoteReference"/>
        </w:rPr>
        <w:footnoteRef/>
      </w:r>
      <w:r>
        <w:t xml:space="preserve"> </w:t>
      </w:r>
      <w:r>
        <w:rPr>
          <w:sz w:val="18"/>
          <w:szCs w:val="18"/>
        </w:rPr>
        <w:t>A</w:t>
      </w:r>
      <w:r w:rsidRPr="00733D87">
        <w:rPr>
          <w:sz w:val="18"/>
          <w:szCs w:val="18"/>
        </w:rPr>
        <w:t xml:space="preserve"> strategic dialogue session will be </w:t>
      </w:r>
      <w:r w:rsidRPr="000001E0">
        <w:rPr>
          <w:sz w:val="18"/>
          <w:szCs w:val="18"/>
        </w:rPr>
        <w:t>scheduled</w:t>
      </w:r>
      <w:r>
        <w:rPr>
          <w:sz w:val="18"/>
          <w:szCs w:val="18"/>
        </w:rPr>
        <w:t xml:space="preserve"> after Steering Committee</w:t>
      </w:r>
      <w:r w:rsidRPr="00733D87">
        <w:rPr>
          <w:sz w:val="18"/>
          <w:szCs w:val="18"/>
        </w:rPr>
        <w:t xml:space="preserve"> meetings</w:t>
      </w:r>
      <w:r w:rsidRPr="004E09BA">
        <w:rPr>
          <w:sz w:val="18"/>
          <w:szCs w:val="18"/>
        </w:rPr>
        <w:t xml:space="preserve"> </w:t>
      </w:r>
      <w:r>
        <w:rPr>
          <w:sz w:val="18"/>
          <w:szCs w:val="18"/>
        </w:rPr>
        <w:t>t</w:t>
      </w:r>
      <w:r w:rsidRPr="0082391C">
        <w:rPr>
          <w:sz w:val="18"/>
          <w:szCs w:val="18"/>
        </w:rPr>
        <w:t xml:space="preserve">o promote mutual learning and coordination between AHP, Australia Assists (delivered by </w:t>
      </w:r>
      <w:proofErr w:type="spellStart"/>
      <w:r w:rsidRPr="0082391C">
        <w:rPr>
          <w:sz w:val="18"/>
          <w:szCs w:val="18"/>
        </w:rPr>
        <w:t>RedR</w:t>
      </w:r>
      <w:proofErr w:type="spellEnd"/>
      <w:r w:rsidRPr="0082391C">
        <w:rPr>
          <w:sz w:val="18"/>
          <w:szCs w:val="18"/>
        </w:rPr>
        <w:t>) and the Australian Red Cross.</w:t>
      </w:r>
    </w:p>
  </w:footnote>
  <w:footnote w:id="44">
    <w:p w14:paraId="0A3E0F0A" w14:textId="775E8203" w:rsidR="00941B92" w:rsidRPr="0082391C" w:rsidRDefault="00941B92">
      <w:pPr>
        <w:pStyle w:val="FootnoteText"/>
        <w:rPr>
          <w:sz w:val="18"/>
          <w:szCs w:val="18"/>
        </w:rPr>
      </w:pPr>
      <w:r>
        <w:rPr>
          <w:rStyle w:val="FootnoteReference"/>
        </w:rPr>
        <w:footnoteRef/>
      </w:r>
      <w:r>
        <w:t xml:space="preserve"> </w:t>
      </w:r>
      <w:r w:rsidRPr="0082391C">
        <w:rPr>
          <w:sz w:val="18"/>
          <w:szCs w:val="18"/>
        </w:rPr>
        <w:t xml:space="preserve">AHP </w:t>
      </w:r>
      <w:r>
        <w:rPr>
          <w:sz w:val="18"/>
          <w:szCs w:val="18"/>
        </w:rPr>
        <w:t>l</w:t>
      </w:r>
      <w:r w:rsidRPr="0082391C">
        <w:rPr>
          <w:sz w:val="18"/>
          <w:szCs w:val="18"/>
        </w:rPr>
        <w:t>ead NGOs have established expertise in gender equality, child protection and child rights</w:t>
      </w:r>
      <w:r>
        <w:rPr>
          <w:sz w:val="18"/>
          <w:szCs w:val="18"/>
        </w:rPr>
        <w:t xml:space="preserve"> which they bring to the Steering Committee.</w:t>
      </w:r>
      <w:r w:rsidRPr="001659D9">
        <w:rPr>
          <w:sz w:val="18"/>
          <w:szCs w:val="18"/>
        </w:rPr>
        <w:t xml:space="preserve"> </w:t>
      </w:r>
      <w:r>
        <w:rPr>
          <w:sz w:val="18"/>
          <w:szCs w:val="18"/>
        </w:rPr>
        <w:t>H</w:t>
      </w:r>
      <w:r w:rsidRPr="001659D9">
        <w:rPr>
          <w:sz w:val="18"/>
          <w:szCs w:val="18"/>
        </w:rPr>
        <w:t>owever</w:t>
      </w:r>
      <w:r>
        <w:rPr>
          <w:sz w:val="18"/>
          <w:szCs w:val="18"/>
        </w:rPr>
        <w:t>,</w:t>
      </w:r>
      <w:r w:rsidRPr="001659D9">
        <w:rPr>
          <w:sz w:val="18"/>
          <w:szCs w:val="18"/>
        </w:rPr>
        <w:t xml:space="preserve"> </w:t>
      </w:r>
      <w:r>
        <w:rPr>
          <w:sz w:val="18"/>
          <w:szCs w:val="18"/>
        </w:rPr>
        <w:t xml:space="preserve">they </w:t>
      </w:r>
      <w:r w:rsidRPr="001659D9">
        <w:rPr>
          <w:sz w:val="18"/>
          <w:szCs w:val="18"/>
        </w:rPr>
        <w:t xml:space="preserve">have less expertise </w:t>
      </w:r>
      <w:r>
        <w:rPr>
          <w:sz w:val="18"/>
          <w:szCs w:val="18"/>
        </w:rPr>
        <w:t>with</w:t>
      </w:r>
      <w:r w:rsidRPr="0082391C">
        <w:rPr>
          <w:sz w:val="18"/>
          <w:szCs w:val="18"/>
        </w:rPr>
        <w:t xml:space="preserve"> disability inclusion</w:t>
      </w:r>
      <w:r>
        <w:rPr>
          <w:sz w:val="18"/>
          <w:szCs w:val="18"/>
        </w:rPr>
        <w:t xml:space="preserve"> in DRR, hence the</w:t>
      </w:r>
      <w:r w:rsidRPr="001659D9">
        <w:rPr>
          <w:sz w:val="18"/>
          <w:szCs w:val="18"/>
        </w:rPr>
        <w:t xml:space="preserve"> decision to include a disability representative in the </w:t>
      </w:r>
      <w:r>
        <w:rPr>
          <w:sz w:val="18"/>
          <w:szCs w:val="18"/>
        </w:rPr>
        <w:t>Steering Committee to ensure that disability inclusion is central to strategic program discussions.</w:t>
      </w:r>
    </w:p>
  </w:footnote>
  <w:footnote w:id="45">
    <w:p w14:paraId="11DA17F2" w14:textId="6A1B74EC" w:rsidR="00941B92" w:rsidRPr="0082391C" w:rsidRDefault="00941B92" w:rsidP="006734E5">
      <w:pPr>
        <w:pStyle w:val="FootnoteText"/>
        <w:rPr>
          <w:sz w:val="18"/>
          <w:szCs w:val="18"/>
        </w:rPr>
      </w:pPr>
      <w:r w:rsidRPr="00BF1A40">
        <w:rPr>
          <w:rStyle w:val="FootnoteReference"/>
          <w:szCs w:val="22"/>
        </w:rPr>
        <w:footnoteRef/>
      </w:r>
      <w:r w:rsidRPr="0082391C">
        <w:rPr>
          <w:sz w:val="18"/>
          <w:szCs w:val="18"/>
        </w:rPr>
        <w:t xml:space="preserve"> Including adherence </w:t>
      </w:r>
      <w:r>
        <w:rPr>
          <w:sz w:val="18"/>
          <w:szCs w:val="18"/>
        </w:rPr>
        <w:t>to</w:t>
      </w:r>
      <w:r w:rsidRPr="0082391C">
        <w:rPr>
          <w:sz w:val="18"/>
          <w:szCs w:val="18"/>
        </w:rPr>
        <w:t xml:space="preserve"> technical standards such as The Sphere Handbook and the Humanitarian Charter and Minimum Standards in Humanitarian Response.</w:t>
      </w:r>
    </w:p>
  </w:footnote>
  <w:footnote w:id="46">
    <w:p w14:paraId="76D5644B" w14:textId="77777777" w:rsidR="00941B92" w:rsidRPr="0082391C" w:rsidRDefault="00941B92" w:rsidP="006734E5">
      <w:pPr>
        <w:pStyle w:val="FootnoteText"/>
        <w:rPr>
          <w:sz w:val="18"/>
          <w:szCs w:val="18"/>
        </w:rPr>
      </w:pPr>
      <w:r w:rsidRPr="0082391C">
        <w:rPr>
          <w:rStyle w:val="FootnoteReference"/>
          <w:szCs w:val="22"/>
        </w:rPr>
        <w:footnoteRef/>
      </w:r>
      <w:r w:rsidRPr="0082391C">
        <w:rPr>
          <w:szCs w:val="22"/>
        </w:rPr>
        <w:t xml:space="preserve"> </w:t>
      </w:r>
      <w:r w:rsidRPr="0082391C">
        <w:rPr>
          <w:sz w:val="18"/>
          <w:szCs w:val="18"/>
        </w:rPr>
        <w:t>Also including the OECD DAC Quality Standards for Development Evaluation 2010.</w:t>
      </w:r>
    </w:p>
  </w:footnote>
  <w:footnote w:id="47">
    <w:p w14:paraId="73759917" w14:textId="3A617EA4" w:rsidR="00941B92" w:rsidRPr="003B76F8" w:rsidRDefault="00941B92" w:rsidP="006734E5">
      <w:pPr>
        <w:pStyle w:val="FootnoteText"/>
        <w:rPr>
          <w:sz w:val="16"/>
          <w:szCs w:val="16"/>
        </w:rPr>
      </w:pPr>
      <w:r w:rsidRPr="0082391C">
        <w:rPr>
          <w:rStyle w:val="FootnoteReference"/>
          <w:szCs w:val="22"/>
        </w:rPr>
        <w:footnoteRef/>
      </w:r>
      <w:r w:rsidRPr="0082391C">
        <w:rPr>
          <w:sz w:val="18"/>
          <w:szCs w:val="18"/>
        </w:rPr>
        <w:t xml:space="preserve"> The alignment between the CHS criteria and the sub-questions includes: Criteria 1 (sub-question 1.1, 1.2), Criteria 2 (2.1), Criteria 3 (2.1, 3.2, 3.3, 3.4, 5.1), Criteria 6 (4.4), Criteria 9 (4.1, 4.3).</w:t>
      </w:r>
    </w:p>
  </w:footnote>
  <w:footnote w:id="48">
    <w:p w14:paraId="017EED56" w14:textId="77777777" w:rsidR="00941B92" w:rsidRPr="0082391C" w:rsidRDefault="00941B92" w:rsidP="006734E5">
      <w:pPr>
        <w:pStyle w:val="FootnoteText"/>
        <w:rPr>
          <w:sz w:val="18"/>
          <w:szCs w:val="18"/>
        </w:rPr>
      </w:pPr>
      <w:r w:rsidRPr="0082391C">
        <w:rPr>
          <w:rStyle w:val="FootnoteReference"/>
          <w:szCs w:val="22"/>
        </w:rPr>
        <w:footnoteRef/>
      </w:r>
      <w:r w:rsidRPr="0082391C">
        <w:rPr>
          <w:szCs w:val="22"/>
        </w:rPr>
        <w:t xml:space="preserve"> </w:t>
      </w:r>
      <w:r w:rsidRPr="0082391C">
        <w:rPr>
          <w:sz w:val="18"/>
          <w:szCs w:val="18"/>
        </w:rPr>
        <w:t>This section includes sub-questions relating to gender equality and disability from the AQC and child protection from the HAQC.</w:t>
      </w:r>
    </w:p>
  </w:footnote>
  <w:footnote w:id="49">
    <w:p w14:paraId="7D63B7F5" w14:textId="77777777" w:rsidR="00941B92" w:rsidRPr="0082391C" w:rsidRDefault="00941B92" w:rsidP="006734E5">
      <w:pPr>
        <w:pStyle w:val="FootnoteText"/>
        <w:rPr>
          <w:sz w:val="18"/>
          <w:szCs w:val="18"/>
        </w:rPr>
      </w:pPr>
      <w:r w:rsidRPr="0082391C">
        <w:rPr>
          <w:rStyle w:val="FootnoteReference"/>
          <w:szCs w:val="22"/>
        </w:rPr>
        <w:footnoteRef/>
      </w:r>
      <w:r w:rsidRPr="0082391C">
        <w:rPr>
          <w:sz w:val="18"/>
          <w:szCs w:val="18"/>
        </w:rPr>
        <w:t xml:space="preserve"> Drawn from the HAQC template (2017).</w:t>
      </w:r>
    </w:p>
  </w:footnote>
  <w:footnote w:id="50">
    <w:p w14:paraId="7595294A" w14:textId="57478F1F" w:rsidR="00941B92" w:rsidRPr="0082391C" w:rsidRDefault="00941B92" w:rsidP="006734E5">
      <w:pPr>
        <w:pStyle w:val="FootnoteText"/>
        <w:rPr>
          <w:sz w:val="18"/>
          <w:szCs w:val="18"/>
        </w:rPr>
      </w:pPr>
      <w:r w:rsidRPr="0082391C">
        <w:rPr>
          <w:rStyle w:val="FootnoteReference"/>
          <w:szCs w:val="22"/>
        </w:rPr>
        <w:footnoteRef/>
      </w:r>
      <w:r w:rsidRPr="0082391C">
        <w:rPr>
          <w:szCs w:val="22"/>
        </w:rPr>
        <w:t xml:space="preserve"> </w:t>
      </w:r>
      <w:r w:rsidRPr="0082391C">
        <w:rPr>
          <w:sz w:val="18"/>
          <w:szCs w:val="18"/>
        </w:rPr>
        <w:t xml:space="preserve">As noted earlier, the team leader </w:t>
      </w:r>
      <w:r>
        <w:rPr>
          <w:sz w:val="18"/>
          <w:szCs w:val="18"/>
        </w:rPr>
        <w:t>will</w:t>
      </w:r>
      <w:r w:rsidRPr="00B243F3">
        <w:rPr>
          <w:sz w:val="18"/>
          <w:szCs w:val="18"/>
        </w:rPr>
        <w:t xml:space="preserve"> also review the evaluation methodologies of the NGO</w:t>
      </w:r>
      <w:r>
        <w:rPr>
          <w:sz w:val="18"/>
          <w:szCs w:val="18"/>
        </w:rPr>
        <w:t>s’</w:t>
      </w:r>
      <w:r w:rsidRPr="00B243F3">
        <w:rPr>
          <w:sz w:val="18"/>
          <w:szCs w:val="18"/>
        </w:rPr>
        <w:t xml:space="preserve"> </w:t>
      </w:r>
      <w:r>
        <w:rPr>
          <w:sz w:val="18"/>
          <w:szCs w:val="18"/>
        </w:rPr>
        <w:t>Year 4</w:t>
      </w:r>
      <w:r w:rsidRPr="0082391C">
        <w:rPr>
          <w:sz w:val="18"/>
          <w:szCs w:val="18"/>
        </w:rPr>
        <w:t xml:space="preserve"> evaluations to ensure complementarity and coordination of approaches and information.</w:t>
      </w:r>
    </w:p>
  </w:footnote>
  <w:footnote w:id="51">
    <w:p w14:paraId="765DE7DA" w14:textId="549A0062" w:rsidR="00941B92" w:rsidRPr="00B243F3" w:rsidRDefault="00941B92" w:rsidP="006734E5">
      <w:pPr>
        <w:pStyle w:val="FootnoteText"/>
        <w:rPr>
          <w:sz w:val="18"/>
          <w:szCs w:val="18"/>
        </w:rPr>
      </w:pPr>
      <w:r w:rsidRPr="0082391C">
        <w:rPr>
          <w:rStyle w:val="FootnoteReference"/>
          <w:szCs w:val="22"/>
        </w:rPr>
        <w:footnoteRef/>
      </w:r>
      <w:r w:rsidRPr="0082391C">
        <w:rPr>
          <w:szCs w:val="22"/>
        </w:rPr>
        <w:t xml:space="preserve"> </w:t>
      </w:r>
      <w:r w:rsidRPr="0082391C">
        <w:rPr>
          <w:sz w:val="18"/>
          <w:szCs w:val="18"/>
        </w:rPr>
        <w:t xml:space="preserve">A key lesson from </w:t>
      </w:r>
      <w:proofErr w:type="spellStart"/>
      <w:r w:rsidRPr="0082391C">
        <w:rPr>
          <w:sz w:val="18"/>
          <w:szCs w:val="18"/>
        </w:rPr>
        <w:t>AusAID’s</w:t>
      </w:r>
      <w:proofErr w:type="spellEnd"/>
      <w:r w:rsidRPr="0082391C">
        <w:rPr>
          <w:sz w:val="18"/>
          <w:szCs w:val="18"/>
        </w:rPr>
        <w:t xml:space="preserve"> Australian Partnerships with African Communities Program (APAC) program was to have a close connection between the design and assessment standards</w:t>
      </w:r>
      <w:r>
        <w:rPr>
          <w:sz w:val="18"/>
          <w:szCs w:val="18"/>
        </w:rPr>
        <w:t xml:space="preserve"> in</w:t>
      </w:r>
      <w:r w:rsidRPr="00B243F3">
        <w:rPr>
          <w:sz w:val="18"/>
          <w:szCs w:val="18"/>
        </w:rPr>
        <w:t xml:space="preserve"> the NGOs</w:t>
      </w:r>
      <w:r>
        <w:rPr>
          <w:sz w:val="18"/>
          <w:szCs w:val="18"/>
        </w:rPr>
        <w:t>’</w:t>
      </w:r>
      <w:r w:rsidRPr="00B243F3">
        <w:rPr>
          <w:sz w:val="18"/>
          <w:szCs w:val="18"/>
        </w:rPr>
        <w:t xml:space="preserve"> evaluations and any DFAT</w:t>
      </w:r>
      <w:r>
        <w:rPr>
          <w:sz w:val="18"/>
          <w:szCs w:val="18"/>
        </w:rPr>
        <w:t>-</w:t>
      </w:r>
      <w:r w:rsidRPr="00B243F3">
        <w:rPr>
          <w:sz w:val="18"/>
          <w:szCs w:val="18"/>
        </w:rPr>
        <w:t>commissioned independent evaluation.</w:t>
      </w:r>
    </w:p>
  </w:footnote>
  <w:footnote w:id="52">
    <w:p w14:paraId="0B948CA9" w14:textId="26454BE6" w:rsidR="00941B92" w:rsidRPr="00BF1A40" w:rsidRDefault="00941B92" w:rsidP="006734E5">
      <w:pPr>
        <w:pStyle w:val="FootnoteText"/>
        <w:rPr>
          <w:sz w:val="18"/>
          <w:szCs w:val="18"/>
        </w:rPr>
      </w:pPr>
      <w:r w:rsidRPr="00B243F3">
        <w:rPr>
          <w:rStyle w:val="FootnoteReference"/>
          <w:szCs w:val="22"/>
        </w:rPr>
        <w:footnoteRef/>
      </w:r>
      <w:r w:rsidRPr="00BF1A40">
        <w:rPr>
          <w:sz w:val="18"/>
          <w:szCs w:val="18"/>
        </w:rPr>
        <w:t xml:space="preserve"> </w:t>
      </w:r>
      <w:r w:rsidRPr="00B243F3">
        <w:rPr>
          <w:sz w:val="18"/>
          <w:szCs w:val="18"/>
        </w:rPr>
        <w:t>NB</w:t>
      </w:r>
      <w:r>
        <w:rPr>
          <w:sz w:val="18"/>
          <w:szCs w:val="18"/>
        </w:rPr>
        <w:t>:</w:t>
      </w:r>
      <w:r w:rsidRPr="0082391C">
        <w:rPr>
          <w:sz w:val="18"/>
          <w:szCs w:val="18"/>
        </w:rPr>
        <w:t xml:space="preserve"> This </w:t>
      </w:r>
      <w:r>
        <w:rPr>
          <w:sz w:val="18"/>
          <w:szCs w:val="18"/>
        </w:rPr>
        <w:t>could</w:t>
      </w:r>
      <w:r w:rsidRPr="00B243F3">
        <w:rPr>
          <w:sz w:val="18"/>
          <w:szCs w:val="18"/>
        </w:rPr>
        <w:t xml:space="preserve"> be a facilitated one-on-one </w:t>
      </w:r>
      <w:r>
        <w:rPr>
          <w:sz w:val="18"/>
          <w:szCs w:val="18"/>
        </w:rPr>
        <w:t xml:space="preserve">review </w:t>
      </w:r>
      <w:r w:rsidRPr="00B243F3">
        <w:rPr>
          <w:sz w:val="18"/>
          <w:szCs w:val="18"/>
        </w:rPr>
        <w:t xml:space="preserve">with each agency prior to the shared country review event. </w:t>
      </w:r>
      <w:r>
        <w:rPr>
          <w:sz w:val="18"/>
          <w:szCs w:val="18"/>
        </w:rPr>
        <w:t>In Year 1, th</w:t>
      </w:r>
      <w:r w:rsidRPr="00B243F3">
        <w:rPr>
          <w:sz w:val="18"/>
          <w:szCs w:val="18"/>
        </w:rPr>
        <w:t xml:space="preserve">e focus </w:t>
      </w:r>
      <w:r>
        <w:rPr>
          <w:sz w:val="18"/>
          <w:szCs w:val="18"/>
        </w:rPr>
        <w:t>would</w:t>
      </w:r>
      <w:r w:rsidRPr="00B243F3">
        <w:rPr>
          <w:sz w:val="18"/>
          <w:szCs w:val="18"/>
        </w:rPr>
        <w:t xml:space="preserve"> be on gender and disability</w:t>
      </w:r>
      <w:r>
        <w:rPr>
          <w:sz w:val="18"/>
          <w:szCs w:val="18"/>
        </w:rPr>
        <w:t>; future such reviews could</w:t>
      </w:r>
      <w:r w:rsidRPr="0082391C">
        <w:rPr>
          <w:sz w:val="18"/>
          <w:szCs w:val="18"/>
        </w:rPr>
        <w:t xml:space="preserve"> include child protection</w:t>
      </w:r>
      <w:r>
        <w:rPr>
          <w:sz w:val="18"/>
          <w:szCs w:val="18"/>
        </w:rPr>
        <w:t xml:space="preserve"> also</w:t>
      </w:r>
      <w:r w:rsidRPr="00B243F3">
        <w:rPr>
          <w:sz w:val="18"/>
          <w:szCs w:val="18"/>
        </w:rPr>
        <w:t>. The SU MEL Manager and</w:t>
      </w:r>
      <w:r>
        <w:rPr>
          <w:sz w:val="18"/>
          <w:szCs w:val="18"/>
        </w:rPr>
        <w:t xml:space="preserve"> the</w:t>
      </w:r>
      <w:r w:rsidRPr="00B243F3">
        <w:rPr>
          <w:sz w:val="18"/>
          <w:szCs w:val="18"/>
        </w:rPr>
        <w:t xml:space="preserve"> Disability Inclusion technical advisor are developing a rubric by which to assess disability inclusion. This early draft will be discussed and further developed with the NGOs and then used on an annual basis as a guided self-assessment</w:t>
      </w:r>
      <w:r>
        <w:rPr>
          <w:sz w:val="18"/>
          <w:szCs w:val="18"/>
        </w:rPr>
        <w:t xml:space="preserve"> </w:t>
      </w:r>
      <w:r w:rsidRPr="00B243F3">
        <w:rPr>
          <w:sz w:val="18"/>
          <w:szCs w:val="18"/>
        </w:rPr>
        <w:t>by the NGOs.</w:t>
      </w:r>
    </w:p>
  </w:footnote>
  <w:footnote w:id="53">
    <w:p w14:paraId="5CE4E99D" w14:textId="10655231" w:rsidR="00941B92" w:rsidRPr="00BF1A40" w:rsidRDefault="00941B92" w:rsidP="006734E5">
      <w:pPr>
        <w:pStyle w:val="FootnoteText"/>
        <w:rPr>
          <w:sz w:val="18"/>
          <w:szCs w:val="18"/>
        </w:rPr>
      </w:pPr>
      <w:r w:rsidRPr="0082391C">
        <w:rPr>
          <w:rStyle w:val="FootnoteReference"/>
          <w:szCs w:val="22"/>
        </w:rPr>
        <w:footnoteRef/>
      </w:r>
      <w:r w:rsidRPr="0082391C">
        <w:rPr>
          <w:sz w:val="18"/>
          <w:szCs w:val="18"/>
        </w:rPr>
        <w:t xml:space="preserve"> NB</w:t>
      </w:r>
      <w:r>
        <w:rPr>
          <w:sz w:val="18"/>
          <w:szCs w:val="18"/>
        </w:rPr>
        <w:t>:</w:t>
      </w:r>
      <w:r w:rsidRPr="0082391C">
        <w:rPr>
          <w:sz w:val="18"/>
          <w:szCs w:val="18"/>
        </w:rPr>
        <w:t xml:space="preserve"> these were developed through extensive consultation in each of the five countries.</w:t>
      </w:r>
    </w:p>
  </w:footnote>
  <w:footnote w:id="54">
    <w:p w14:paraId="54E30B0B" w14:textId="77777777" w:rsidR="00941B92" w:rsidRPr="003B76F8" w:rsidRDefault="00941B92" w:rsidP="006734E5">
      <w:pPr>
        <w:spacing w:after="0" w:line="240" w:lineRule="auto"/>
        <w:rPr>
          <w:sz w:val="18"/>
        </w:rPr>
      </w:pPr>
      <w:r w:rsidRPr="0082391C">
        <w:rPr>
          <w:rStyle w:val="FootnoteReference"/>
        </w:rPr>
        <w:footnoteRef/>
      </w:r>
      <w:r w:rsidRPr="0082391C">
        <w:t xml:space="preserve"> </w:t>
      </w:r>
      <w:r w:rsidRPr="0082391C">
        <w:rPr>
          <w:sz w:val="18"/>
          <w:szCs w:val="18"/>
        </w:rPr>
        <w:t>See Annex 4 Design Guidelines.</w:t>
      </w:r>
    </w:p>
  </w:footnote>
  <w:footnote w:id="55">
    <w:p w14:paraId="1E18B272" w14:textId="0A40CC95" w:rsidR="00941B92" w:rsidRPr="003B76F8" w:rsidRDefault="00941B92" w:rsidP="00B630A7">
      <w:pPr>
        <w:pStyle w:val="FootnoteText"/>
        <w:rPr>
          <w:sz w:val="16"/>
          <w:szCs w:val="18"/>
        </w:rPr>
      </w:pPr>
      <w:r w:rsidRPr="0082391C">
        <w:rPr>
          <w:rStyle w:val="FootnoteReference"/>
          <w:szCs w:val="22"/>
        </w:rPr>
        <w:footnoteRef/>
      </w:r>
      <w:r w:rsidRPr="0082391C">
        <w:rPr>
          <w:sz w:val="18"/>
          <w:szCs w:val="18"/>
        </w:rPr>
        <w:t xml:space="preserve"> Informed by the definition of </w:t>
      </w:r>
      <w:proofErr w:type="spellStart"/>
      <w:r w:rsidRPr="0082391C">
        <w:rPr>
          <w:sz w:val="18"/>
          <w:szCs w:val="18"/>
        </w:rPr>
        <w:t>localisation</w:t>
      </w:r>
      <w:proofErr w:type="spellEnd"/>
      <w:r w:rsidRPr="0082391C">
        <w:rPr>
          <w:sz w:val="18"/>
          <w:szCs w:val="18"/>
        </w:rPr>
        <w:t xml:space="preserve"> developed through the ARC’s research in the Pacific</w:t>
      </w:r>
      <w:r>
        <w:rPr>
          <w:sz w:val="18"/>
          <w:szCs w:val="18"/>
        </w:rPr>
        <w:t>,</w:t>
      </w:r>
      <w:r w:rsidRPr="00B243F3">
        <w:rPr>
          <w:sz w:val="18"/>
          <w:szCs w:val="18"/>
        </w:rPr>
        <w:t xml:space="preserve"> October 2017.</w:t>
      </w:r>
    </w:p>
  </w:footnote>
  <w:footnote w:id="56">
    <w:p w14:paraId="51797B0E" w14:textId="4B7D87ED" w:rsidR="00941B92" w:rsidRPr="003B76F8" w:rsidRDefault="00941B92" w:rsidP="00110706">
      <w:pPr>
        <w:pStyle w:val="FootnoteText"/>
        <w:rPr>
          <w:sz w:val="16"/>
          <w:szCs w:val="18"/>
        </w:rPr>
      </w:pPr>
      <w:r w:rsidRPr="00B243F3">
        <w:rPr>
          <w:rStyle w:val="FootnoteReference"/>
          <w:szCs w:val="22"/>
        </w:rPr>
        <w:footnoteRef/>
      </w:r>
      <w:r w:rsidRPr="00B243F3">
        <w:rPr>
          <w:szCs w:val="22"/>
        </w:rPr>
        <w:t xml:space="preserve"> </w:t>
      </w:r>
      <w:r>
        <w:rPr>
          <w:sz w:val="18"/>
          <w:szCs w:val="18"/>
        </w:rPr>
        <w:t>CARE</w:t>
      </w:r>
      <w:r w:rsidRPr="00B243F3">
        <w:rPr>
          <w:sz w:val="18"/>
          <w:szCs w:val="18"/>
        </w:rPr>
        <w:t xml:space="preserve"> Australia, “Gender and Disaster Risk Reduction in the Pacific”, Gender Considerations Brief</w:t>
      </w:r>
      <w:r>
        <w:rPr>
          <w:sz w:val="18"/>
          <w:szCs w:val="18"/>
        </w:rPr>
        <w:t>,</w:t>
      </w:r>
      <w:r w:rsidRPr="00B243F3">
        <w:rPr>
          <w:sz w:val="18"/>
          <w:szCs w:val="18"/>
        </w:rPr>
        <w:t xml:space="preserve"> AHP 2017.  This section </w:t>
      </w:r>
      <w:r w:rsidRPr="00B243F3">
        <w:rPr>
          <w:sz w:val="18"/>
          <w:szCs w:val="18"/>
          <w:lang w:val="en-AU"/>
        </w:rPr>
        <w:t>summarises</w:t>
      </w:r>
      <w:r w:rsidRPr="00B243F3">
        <w:rPr>
          <w:sz w:val="18"/>
          <w:szCs w:val="18"/>
        </w:rPr>
        <w:t xml:space="preserve"> the key points from the full brief which is at Annex 9</w:t>
      </w:r>
      <w:r>
        <w:rPr>
          <w:sz w:val="18"/>
          <w:szCs w:val="18"/>
        </w:rPr>
        <w:t>.</w:t>
      </w:r>
    </w:p>
  </w:footnote>
  <w:footnote w:id="57">
    <w:p w14:paraId="4BD9390A" w14:textId="29D472FB" w:rsidR="00941B92" w:rsidRPr="00B243F3" w:rsidRDefault="00941B92" w:rsidP="00110706">
      <w:pPr>
        <w:pStyle w:val="FootnoteText"/>
        <w:rPr>
          <w:sz w:val="18"/>
          <w:szCs w:val="18"/>
        </w:rPr>
      </w:pPr>
      <w:r w:rsidRPr="00B243F3">
        <w:rPr>
          <w:rStyle w:val="FootnoteReference"/>
          <w:szCs w:val="22"/>
        </w:rPr>
        <w:footnoteRef/>
      </w:r>
      <w:r w:rsidRPr="00B243F3">
        <w:rPr>
          <w:sz w:val="18"/>
          <w:szCs w:val="18"/>
        </w:rPr>
        <w:t xml:space="preserve"> Robinson A</w:t>
      </w:r>
      <w:r>
        <w:rPr>
          <w:sz w:val="18"/>
          <w:szCs w:val="18"/>
        </w:rPr>
        <w:t>.,</w:t>
      </w:r>
      <w:r w:rsidRPr="00B243F3">
        <w:rPr>
          <w:sz w:val="18"/>
          <w:szCs w:val="18"/>
        </w:rPr>
        <w:t xml:space="preserve"> “Disability Inclusiveness in Disaster Risk Reduction: A Primer”.  This section </w:t>
      </w:r>
      <w:proofErr w:type="spellStart"/>
      <w:r w:rsidRPr="00B243F3">
        <w:rPr>
          <w:sz w:val="18"/>
          <w:szCs w:val="18"/>
        </w:rPr>
        <w:t>summarises</w:t>
      </w:r>
      <w:proofErr w:type="spellEnd"/>
      <w:r w:rsidRPr="00B243F3">
        <w:rPr>
          <w:sz w:val="18"/>
          <w:szCs w:val="18"/>
        </w:rPr>
        <w:t xml:space="preserve"> the key points from this </w:t>
      </w:r>
      <w:proofErr w:type="spellStart"/>
      <w:r w:rsidRPr="00B243F3">
        <w:rPr>
          <w:sz w:val="18"/>
          <w:szCs w:val="18"/>
        </w:rPr>
        <w:t>DiDRR</w:t>
      </w:r>
      <w:proofErr w:type="spellEnd"/>
      <w:r w:rsidRPr="00B243F3">
        <w:rPr>
          <w:sz w:val="18"/>
          <w:szCs w:val="18"/>
        </w:rPr>
        <w:t xml:space="preserve"> paper commissioned to inform the Disaster READY design process</w:t>
      </w:r>
      <w:r>
        <w:rPr>
          <w:sz w:val="18"/>
          <w:szCs w:val="18"/>
        </w:rPr>
        <w:t>. T</w:t>
      </w:r>
      <w:r w:rsidRPr="00B243F3">
        <w:rPr>
          <w:sz w:val="18"/>
          <w:szCs w:val="18"/>
        </w:rPr>
        <w:t>he full paper is at Annex 10.</w:t>
      </w:r>
    </w:p>
  </w:footnote>
  <w:footnote w:id="58">
    <w:p w14:paraId="068EF83F" w14:textId="7013FB7C" w:rsidR="00941B92" w:rsidRPr="00B243F3" w:rsidRDefault="00941B92" w:rsidP="0056712E">
      <w:pPr>
        <w:pStyle w:val="FootnoteText"/>
        <w:rPr>
          <w:sz w:val="18"/>
          <w:szCs w:val="18"/>
        </w:rPr>
      </w:pPr>
      <w:r w:rsidRPr="00B243F3">
        <w:rPr>
          <w:rStyle w:val="FootnoteReference"/>
          <w:szCs w:val="22"/>
        </w:rPr>
        <w:footnoteRef/>
      </w:r>
      <w:r w:rsidRPr="00B243F3">
        <w:rPr>
          <w:sz w:val="18"/>
          <w:szCs w:val="18"/>
        </w:rPr>
        <w:t xml:space="preserve"> Australian</w:t>
      </w:r>
      <w:r w:rsidRPr="00B243F3">
        <w:rPr>
          <w:rFonts w:eastAsia="Times New Roman"/>
          <w:b/>
          <w:bCs/>
          <w:kern w:val="36"/>
          <w:sz w:val="18"/>
          <w:szCs w:val="18"/>
          <w:lang w:val="en-GB" w:eastAsia="en-GB"/>
        </w:rPr>
        <w:t xml:space="preserve"> </w:t>
      </w:r>
      <w:r w:rsidRPr="00B243F3">
        <w:rPr>
          <w:sz w:val="18"/>
          <w:szCs w:val="18"/>
        </w:rPr>
        <w:t>Statement to Special Session on People with Disabilities in Humanitarian Action</w:t>
      </w:r>
      <w:r>
        <w:rPr>
          <w:sz w:val="18"/>
          <w:szCs w:val="18"/>
        </w:rPr>
        <w:t>,</w:t>
      </w:r>
      <w:r w:rsidRPr="00B243F3">
        <w:rPr>
          <w:sz w:val="18"/>
          <w:szCs w:val="18"/>
        </w:rPr>
        <w:t xml:space="preserve"> World Humanitarian Summit 2016 at http://ministers.dfat.gov.au/fierravanti-wells/speeches/Pages/2016/cf_sp_160523a.aspx?w=p2wUlmE1t7kKl1%2BiOm3gqg%3D%3D</w:t>
      </w:r>
    </w:p>
    <w:p w14:paraId="35D64248" w14:textId="77777777" w:rsidR="00941B92" w:rsidRPr="00BA0DCD" w:rsidRDefault="00941B92" w:rsidP="0056712E">
      <w:pPr>
        <w:pStyle w:val="FootnoteText"/>
        <w:rPr>
          <w:sz w:val="20"/>
        </w:rPr>
      </w:pPr>
    </w:p>
  </w:footnote>
  <w:footnote w:id="59">
    <w:p w14:paraId="419D5381" w14:textId="01E9355B" w:rsidR="00941B92" w:rsidRDefault="00941B92">
      <w:pPr>
        <w:pStyle w:val="FootnoteText"/>
      </w:pPr>
      <w:r>
        <w:rPr>
          <w:rStyle w:val="FootnoteReference"/>
        </w:rPr>
        <w:footnoteRef/>
      </w:r>
      <w:r>
        <w:t xml:space="preserve"> </w:t>
      </w:r>
      <w:r w:rsidRPr="00B243F3">
        <w:rPr>
          <w:sz w:val="18"/>
          <w:szCs w:val="18"/>
        </w:rPr>
        <w:t>AHP Design Document and Risk Register</w:t>
      </w:r>
      <w:r>
        <w:t xml:space="preserve"> </w:t>
      </w:r>
      <w:r w:rsidRPr="00B243F3">
        <w:rPr>
          <w:sz w:val="18"/>
          <w:szCs w:val="18"/>
        </w:rPr>
        <w:t>http://dfat.gov.au/about-us/business-opportunities/tenders/Pages/australian-humanitarian-partnership-call-for-proposals.aspx</w:t>
      </w:r>
    </w:p>
  </w:footnote>
  <w:footnote w:id="60">
    <w:p w14:paraId="0D433677" w14:textId="77777777" w:rsidR="00941B92" w:rsidRDefault="00941B92" w:rsidP="00BC1A3A">
      <w:pPr>
        <w:pStyle w:val="FootnoteText"/>
      </w:pPr>
      <w:r>
        <w:rPr>
          <w:rStyle w:val="FootnoteReference"/>
        </w:rPr>
        <w:footnoteRef/>
      </w:r>
      <w:r>
        <w:t xml:space="preserve"> </w:t>
      </w:r>
      <w:r w:rsidRPr="00B243F3">
        <w:rPr>
          <w:sz w:val="18"/>
          <w:szCs w:val="18"/>
        </w:rPr>
        <w:t>Sphere Minimum Standards for Child Protection in Emergencies (2014) http://www.sphereproject.org/sphere/en/handbook/handbook-companions/the-cpwg-handbook/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69E"/>
    <w:multiLevelType w:val="hybridMultilevel"/>
    <w:tmpl w:val="F476E138"/>
    <w:lvl w:ilvl="0" w:tplc="3B3E42B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70E05"/>
    <w:multiLevelType w:val="multilevel"/>
    <w:tmpl w:val="103C4A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9237D5"/>
    <w:multiLevelType w:val="multilevel"/>
    <w:tmpl w:val="7F16048E"/>
    <w:lvl w:ilvl="0">
      <w:start w:val="1"/>
      <w:numFmt w:val="decimal"/>
      <w:lvlText w:val="%1."/>
      <w:lvlJc w:val="left"/>
      <w:pPr>
        <w:ind w:left="720" w:hanging="360"/>
      </w:pPr>
      <w:rPr>
        <w:rFonts w:hint="default"/>
      </w:rPr>
    </w:lvl>
    <w:lvl w:ilvl="1">
      <w:start w:val="1"/>
      <w:numFmt w:val="decimal"/>
      <w:isLgl/>
      <w:lvlText w:val="%1.%2"/>
      <w:lvlJc w:val="left"/>
      <w:pPr>
        <w:ind w:left="357" w:hanging="357"/>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15:restartNumberingAfterBreak="0">
    <w:nsid w:val="13B53D76"/>
    <w:multiLevelType w:val="multilevel"/>
    <w:tmpl w:val="F0A22F9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540994"/>
    <w:multiLevelType w:val="multilevel"/>
    <w:tmpl w:val="FB20A63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6B2F9C"/>
    <w:multiLevelType w:val="hybridMultilevel"/>
    <w:tmpl w:val="8090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D6E6A"/>
    <w:multiLevelType w:val="hybridMultilevel"/>
    <w:tmpl w:val="49BCFE5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BF300A"/>
    <w:multiLevelType w:val="multilevel"/>
    <w:tmpl w:val="3A6467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D17A2B"/>
    <w:multiLevelType w:val="hybridMultilevel"/>
    <w:tmpl w:val="20DAA644"/>
    <w:lvl w:ilvl="0" w:tplc="6F708236">
      <w:numFmt w:val="bullet"/>
      <w:lvlText w:val="-"/>
      <w:lvlJc w:val="left"/>
      <w:pPr>
        <w:ind w:left="720" w:hanging="360"/>
      </w:pPr>
      <w:rPr>
        <w:rFonts w:ascii="Corbel" w:eastAsiaTheme="minorEastAsia"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64BC2"/>
    <w:multiLevelType w:val="hybridMultilevel"/>
    <w:tmpl w:val="390269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F61986"/>
    <w:multiLevelType w:val="hybridMultilevel"/>
    <w:tmpl w:val="70B2D17C"/>
    <w:lvl w:ilvl="0" w:tplc="DBBA018C">
      <w:start w:val="1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A35A56A0">
      <w:start w:val="16"/>
      <w:numFmt w:val="bullet"/>
      <w:lvlText w:val="-"/>
      <w:lvlJc w:val="left"/>
      <w:pPr>
        <w:ind w:left="2160" w:hanging="360"/>
      </w:pPr>
      <w:rPr>
        <w:rFonts w:ascii="Calibri" w:eastAsia="Calibri" w:hAnsi="Calibri" w:cs="Times New Roman"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96E0E52"/>
    <w:multiLevelType w:val="multilevel"/>
    <w:tmpl w:val="3A646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3155DA"/>
    <w:multiLevelType w:val="hybridMultilevel"/>
    <w:tmpl w:val="C1E4C2D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CDE07F3"/>
    <w:multiLevelType w:val="hybridMultilevel"/>
    <w:tmpl w:val="417C7F1E"/>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4" w15:restartNumberingAfterBreak="0">
    <w:nsid w:val="2DF36FF5"/>
    <w:multiLevelType w:val="hybridMultilevel"/>
    <w:tmpl w:val="2E40B31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6463D5"/>
    <w:multiLevelType w:val="multilevel"/>
    <w:tmpl w:val="21A62E6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AF6051"/>
    <w:multiLevelType w:val="hybridMultilevel"/>
    <w:tmpl w:val="87C4FE34"/>
    <w:lvl w:ilvl="0" w:tplc="7DEA1480">
      <w:numFmt w:val="bullet"/>
      <w:lvlText w:val="-"/>
      <w:lvlJc w:val="left"/>
      <w:pPr>
        <w:ind w:left="360" w:hanging="360"/>
      </w:pPr>
      <w:rPr>
        <w:rFonts w:ascii="Corbel" w:eastAsiaTheme="minorEastAsia" w:hAnsi="Corbel" w:cstheme="minorBidi" w:hint="default"/>
      </w:rPr>
    </w:lvl>
    <w:lvl w:ilvl="1" w:tplc="02D867C6">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D448D5"/>
    <w:multiLevelType w:val="hybridMultilevel"/>
    <w:tmpl w:val="90CC6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0060C5"/>
    <w:multiLevelType w:val="hybridMultilevel"/>
    <w:tmpl w:val="84EA9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C345CA"/>
    <w:multiLevelType w:val="multilevel"/>
    <w:tmpl w:val="028AC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124FCB"/>
    <w:multiLevelType w:val="hybridMultilevel"/>
    <w:tmpl w:val="DE68E140"/>
    <w:lvl w:ilvl="0" w:tplc="7DEA1480">
      <w:numFmt w:val="bullet"/>
      <w:lvlText w:val="-"/>
      <w:lvlJc w:val="left"/>
      <w:pPr>
        <w:ind w:left="770" w:hanging="360"/>
      </w:pPr>
      <w:rPr>
        <w:rFonts w:ascii="Corbel" w:eastAsiaTheme="minorEastAsia" w:hAnsi="Corbel" w:cstheme="minorBidi"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461005C7"/>
    <w:multiLevelType w:val="hybridMultilevel"/>
    <w:tmpl w:val="A8FC6F2E"/>
    <w:lvl w:ilvl="0" w:tplc="B57E4F38">
      <w:start w:val="8"/>
      <w:numFmt w:val="bullet"/>
      <w:lvlText w:val="-"/>
      <w:lvlJc w:val="left"/>
      <w:pPr>
        <w:ind w:left="720" w:hanging="360"/>
      </w:pPr>
      <w:rPr>
        <w:rFonts w:ascii="Corbel" w:eastAsiaTheme="minorEastAsia"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91389"/>
    <w:multiLevelType w:val="hybridMultilevel"/>
    <w:tmpl w:val="453A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1578B"/>
    <w:multiLevelType w:val="multilevel"/>
    <w:tmpl w:val="75E0AF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8D4C00"/>
    <w:multiLevelType w:val="hybridMultilevel"/>
    <w:tmpl w:val="CD98C25E"/>
    <w:lvl w:ilvl="0" w:tplc="0C09000F">
      <w:start w:val="1"/>
      <w:numFmt w:val="decimal"/>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53383F8B"/>
    <w:multiLevelType w:val="hybridMultilevel"/>
    <w:tmpl w:val="829AE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AF18BA"/>
    <w:multiLevelType w:val="hybridMultilevel"/>
    <w:tmpl w:val="977E57EE"/>
    <w:lvl w:ilvl="0" w:tplc="147AF550">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7DB3019"/>
    <w:multiLevelType w:val="hybridMultilevel"/>
    <w:tmpl w:val="62D29D98"/>
    <w:lvl w:ilvl="0" w:tplc="4E628B3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0F05CF"/>
    <w:multiLevelType w:val="multilevel"/>
    <w:tmpl w:val="197897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A87631"/>
    <w:multiLevelType w:val="hybridMultilevel"/>
    <w:tmpl w:val="E656F580"/>
    <w:lvl w:ilvl="0" w:tplc="0C09000F">
      <w:start w:val="1"/>
      <w:numFmt w:val="decimal"/>
      <w:lvlText w:val="%1."/>
      <w:lvlJc w:val="left"/>
      <w:pPr>
        <w:ind w:left="1431" w:hanging="360"/>
      </w:pPr>
    </w:lvl>
    <w:lvl w:ilvl="1" w:tplc="04090003">
      <w:start w:val="1"/>
      <w:numFmt w:val="bullet"/>
      <w:lvlText w:val="o"/>
      <w:lvlJc w:val="left"/>
      <w:pPr>
        <w:ind w:left="2151" w:hanging="360"/>
      </w:pPr>
      <w:rPr>
        <w:rFonts w:ascii="Courier New" w:hAnsi="Courier New" w:cs="Times New Roman" w:hint="default"/>
      </w:rPr>
    </w:lvl>
    <w:lvl w:ilvl="2" w:tplc="04090005">
      <w:start w:val="1"/>
      <w:numFmt w:val="bullet"/>
      <w:lvlText w:val=""/>
      <w:lvlJc w:val="left"/>
      <w:pPr>
        <w:ind w:left="2871" w:hanging="360"/>
      </w:pPr>
      <w:rPr>
        <w:rFonts w:ascii="Wingdings" w:hAnsi="Wingdings" w:hint="default"/>
      </w:rPr>
    </w:lvl>
    <w:lvl w:ilvl="3" w:tplc="04090001">
      <w:start w:val="1"/>
      <w:numFmt w:val="bullet"/>
      <w:lvlText w:val=""/>
      <w:lvlJc w:val="left"/>
      <w:pPr>
        <w:ind w:left="3591" w:hanging="360"/>
      </w:pPr>
      <w:rPr>
        <w:rFonts w:ascii="Symbol" w:hAnsi="Symbol" w:hint="default"/>
      </w:rPr>
    </w:lvl>
    <w:lvl w:ilvl="4" w:tplc="04090003">
      <w:start w:val="1"/>
      <w:numFmt w:val="bullet"/>
      <w:lvlText w:val="o"/>
      <w:lvlJc w:val="left"/>
      <w:pPr>
        <w:ind w:left="4311" w:hanging="360"/>
      </w:pPr>
      <w:rPr>
        <w:rFonts w:ascii="Courier New" w:hAnsi="Courier New" w:cs="Times New Roman" w:hint="default"/>
      </w:rPr>
    </w:lvl>
    <w:lvl w:ilvl="5" w:tplc="04090005">
      <w:start w:val="1"/>
      <w:numFmt w:val="bullet"/>
      <w:lvlText w:val=""/>
      <w:lvlJc w:val="left"/>
      <w:pPr>
        <w:ind w:left="5031" w:hanging="360"/>
      </w:pPr>
      <w:rPr>
        <w:rFonts w:ascii="Wingdings" w:hAnsi="Wingdings" w:hint="default"/>
      </w:rPr>
    </w:lvl>
    <w:lvl w:ilvl="6" w:tplc="04090001">
      <w:start w:val="1"/>
      <w:numFmt w:val="bullet"/>
      <w:lvlText w:val=""/>
      <w:lvlJc w:val="left"/>
      <w:pPr>
        <w:ind w:left="5751" w:hanging="360"/>
      </w:pPr>
      <w:rPr>
        <w:rFonts w:ascii="Symbol" w:hAnsi="Symbol" w:hint="default"/>
      </w:rPr>
    </w:lvl>
    <w:lvl w:ilvl="7" w:tplc="04090003">
      <w:start w:val="1"/>
      <w:numFmt w:val="bullet"/>
      <w:lvlText w:val="o"/>
      <w:lvlJc w:val="left"/>
      <w:pPr>
        <w:ind w:left="6471" w:hanging="360"/>
      </w:pPr>
      <w:rPr>
        <w:rFonts w:ascii="Courier New" w:hAnsi="Courier New" w:cs="Times New Roman" w:hint="default"/>
      </w:rPr>
    </w:lvl>
    <w:lvl w:ilvl="8" w:tplc="04090005">
      <w:start w:val="1"/>
      <w:numFmt w:val="bullet"/>
      <w:lvlText w:val=""/>
      <w:lvlJc w:val="left"/>
      <w:pPr>
        <w:ind w:left="7191" w:hanging="360"/>
      </w:pPr>
      <w:rPr>
        <w:rFonts w:ascii="Wingdings" w:hAnsi="Wingdings" w:hint="default"/>
      </w:rPr>
    </w:lvl>
  </w:abstractNum>
  <w:abstractNum w:abstractNumId="30" w15:restartNumberingAfterBreak="0">
    <w:nsid w:val="5F0167C6"/>
    <w:multiLevelType w:val="multilevel"/>
    <w:tmpl w:val="75F6B864"/>
    <w:lvl w:ilvl="0">
      <w:start w:val="3"/>
      <w:numFmt w:val="decimal"/>
      <w:lvlText w:val="%1"/>
      <w:lvlJc w:val="left"/>
      <w:pPr>
        <w:ind w:left="360" w:hanging="360"/>
      </w:pPr>
      <w:rPr>
        <w:rFonts w:eastAsiaTheme="minorEastAsia" w:hint="default"/>
      </w:rPr>
    </w:lvl>
    <w:lvl w:ilvl="1">
      <w:start w:val="1"/>
      <w:numFmt w:val="decimal"/>
      <w:lvlText w:val="%1.%2"/>
      <w:lvlJc w:val="left"/>
      <w:pPr>
        <w:ind w:left="432" w:hanging="432"/>
      </w:pPr>
      <w:rPr>
        <w:rFonts w:eastAsiaTheme="minorEastAsia" w:hint="default"/>
        <w:sz w:val="22"/>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1" w15:restartNumberingAfterBreak="0">
    <w:nsid w:val="60160300"/>
    <w:multiLevelType w:val="hybridMultilevel"/>
    <w:tmpl w:val="A5D8EBBC"/>
    <w:lvl w:ilvl="0" w:tplc="3B3E42B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816E8D"/>
    <w:multiLevelType w:val="multilevel"/>
    <w:tmpl w:val="BA4EC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580DF3"/>
    <w:multiLevelType w:val="hybridMultilevel"/>
    <w:tmpl w:val="D0307E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64A11"/>
    <w:multiLevelType w:val="multilevel"/>
    <w:tmpl w:val="3A646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7F90897"/>
    <w:multiLevelType w:val="multilevel"/>
    <w:tmpl w:val="3A6467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AC17C8"/>
    <w:multiLevelType w:val="multilevel"/>
    <w:tmpl w:val="3F54D64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39739CE"/>
    <w:multiLevelType w:val="hybridMultilevel"/>
    <w:tmpl w:val="DE004404"/>
    <w:lvl w:ilvl="0" w:tplc="3404F01A">
      <w:start w:val="16"/>
      <w:numFmt w:val="bullet"/>
      <w:lvlText w:val="-"/>
      <w:lvlJc w:val="left"/>
      <w:pPr>
        <w:ind w:left="720" w:hanging="360"/>
      </w:pPr>
      <w:rPr>
        <w:rFonts w:ascii="Calibri" w:eastAsiaTheme="minorHAnsi" w:hAnsi="Calibri" w:cs="Calibri"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5021164"/>
    <w:multiLevelType w:val="multilevel"/>
    <w:tmpl w:val="C54A3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C651461"/>
    <w:multiLevelType w:val="multilevel"/>
    <w:tmpl w:val="3F54D64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EF1409E"/>
    <w:multiLevelType w:val="hybridMultilevel"/>
    <w:tmpl w:val="552E3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8"/>
  </w:num>
  <w:num w:numId="3">
    <w:abstractNumId w:val="25"/>
  </w:num>
  <w:num w:numId="4">
    <w:abstractNumId w:val="18"/>
  </w:num>
  <w:num w:numId="5">
    <w:abstractNumId w:val="12"/>
  </w:num>
  <w:num w:numId="6">
    <w:abstractNumId w:val="39"/>
  </w:num>
  <w:num w:numId="7">
    <w:abstractNumId w:val="11"/>
  </w:num>
  <w:num w:numId="8">
    <w:abstractNumId w:val="7"/>
  </w:num>
  <w:num w:numId="9">
    <w:abstractNumId w:val="35"/>
  </w:num>
  <w:num w:numId="10">
    <w:abstractNumId w:val="34"/>
  </w:num>
  <w:num w:numId="11">
    <w:abstractNumId w:val="2"/>
  </w:num>
  <w:num w:numId="12">
    <w:abstractNumId w:val="5"/>
  </w:num>
  <w:num w:numId="13">
    <w:abstractNumId w:val="20"/>
  </w:num>
  <w:num w:numId="14">
    <w:abstractNumId w:val="24"/>
  </w:num>
  <w:num w:numId="15">
    <w:abstractNumId w:val="16"/>
  </w:num>
  <w:num w:numId="16">
    <w:abstractNumId w:val="22"/>
  </w:num>
  <w:num w:numId="17">
    <w:abstractNumId w:val="33"/>
  </w:num>
  <w:num w:numId="18">
    <w:abstractNumId w:val="6"/>
  </w:num>
  <w:num w:numId="19">
    <w:abstractNumId w:val="9"/>
  </w:num>
  <w:num w:numId="20">
    <w:abstractNumId w:val="29"/>
  </w:num>
  <w:num w:numId="21">
    <w:abstractNumId w:val="15"/>
  </w:num>
  <w:num w:numId="22">
    <w:abstractNumId w:val="3"/>
  </w:num>
  <w:num w:numId="23">
    <w:abstractNumId w:val="4"/>
  </w:num>
  <w:num w:numId="24">
    <w:abstractNumId w:val="30"/>
  </w:num>
  <w:num w:numId="25">
    <w:abstractNumId w:val="17"/>
  </w:num>
  <w:num w:numId="26">
    <w:abstractNumId w:val="13"/>
  </w:num>
  <w:num w:numId="27">
    <w:abstractNumId w:val="40"/>
  </w:num>
  <w:num w:numId="28">
    <w:abstractNumId w:val="14"/>
  </w:num>
  <w:num w:numId="29">
    <w:abstractNumId w:val="36"/>
  </w:num>
  <w:num w:numId="30">
    <w:abstractNumId w:val="19"/>
  </w:num>
  <w:num w:numId="31">
    <w:abstractNumId w:val="21"/>
  </w:num>
  <w:num w:numId="32">
    <w:abstractNumId w:val="0"/>
  </w:num>
  <w:num w:numId="33">
    <w:abstractNumId w:val="31"/>
  </w:num>
  <w:num w:numId="34">
    <w:abstractNumId w:val="10"/>
  </w:num>
  <w:num w:numId="35">
    <w:abstractNumId w:val="37"/>
  </w:num>
  <w:num w:numId="36">
    <w:abstractNumId w:val="32"/>
  </w:num>
  <w:num w:numId="37">
    <w:abstractNumId w:val="38"/>
  </w:num>
  <w:num w:numId="38">
    <w:abstractNumId w:val="23"/>
  </w:num>
  <w:num w:numId="39">
    <w:abstractNumId w:val="28"/>
  </w:num>
  <w:num w:numId="40">
    <w:abstractNumId w:val="26"/>
  </w:num>
  <w:num w:numId="4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proofState w:spelling="clean" w:grammar="clean"/>
  <w:attachedTemplate r:id="rId1"/>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4B"/>
    <w:rsid w:val="000001E0"/>
    <w:rsid w:val="000008DA"/>
    <w:rsid w:val="00000DC8"/>
    <w:rsid w:val="000028E1"/>
    <w:rsid w:val="000067B9"/>
    <w:rsid w:val="000079ED"/>
    <w:rsid w:val="0001082F"/>
    <w:rsid w:val="00010D1F"/>
    <w:rsid w:val="00010D79"/>
    <w:rsid w:val="00010FF0"/>
    <w:rsid w:val="00012EFF"/>
    <w:rsid w:val="00013349"/>
    <w:rsid w:val="0001700B"/>
    <w:rsid w:val="00021F3E"/>
    <w:rsid w:val="000226F9"/>
    <w:rsid w:val="00022C59"/>
    <w:rsid w:val="00022C6E"/>
    <w:rsid w:val="00024595"/>
    <w:rsid w:val="00024DA0"/>
    <w:rsid w:val="000277ED"/>
    <w:rsid w:val="00030734"/>
    <w:rsid w:val="00030ECC"/>
    <w:rsid w:val="00035127"/>
    <w:rsid w:val="0003729D"/>
    <w:rsid w:val="00037CD1"/>
    <w:rsid w:val="00037D63"/>
    <w:rsid w:val="0004008C"/>
    <w:rsid w:val="00040F94"/>
    <w:rsid w:val="00042263"/>
    <w:rsid w:val="00045047"/>
    <w:rsid w:val="00046121"/>
    <w:rsid w:val="00046A26"/>
    <w:rsid w:val="00046DE3"/>
    <w:rsid w:val="00046FD3"/>
    <w:rsid w:val="00051CAC"/>
    <w:rsid w:val="00052600"/>
    <w:rsid w:val="00054D14"/>
    <w:rsid w:val="000603A0"/>
    <w:rsid w:val="00060F18"/>
    <w:rsid w:val="0006124C"/>
    <w:rsid w:val="00061BCB"/>
    <w:rsid w:val="00061F1F"/>
    <w:rsid w:val="000627C2"/>
    <w:rsid w:val="00062B16"/>
    <w:rsid w:val="0006348B"/>
    <w:rsid w:val="00063758"/>
    <w:rsid w:val="000640CF"/>
    <w:rsid w:val="00064DB1"/>
    <w:rsid w:val="00064E3E"/>
    <w:rsid w:val="00065A3A"/>
    <w:rsid w:val="00066859"/>
    <w:rsid w:val="00066D07"/>
    <w:rsid w:val="00066DCF"/>
    <w:rsid w:val="00067B5D"/>
    <w:rsid w:val="00067DAA"/>
    <w:rsid w:val="000724B3"/>
    <w:rsid w:val="00072990"/>
    <w:rsid w:val="00072EFF"/>
    <w:rsid w:val="00073188"/>
    <w:rsid w:val="00073268"/>
    <w:rsid w:val="000733C6"/>
    <w:rsid w:val="00085171"/>
    <w:rsid w:val="00091AE2"/>
    <w:rsid w:val="0009731D"/>
    <w:rsid w:val="000A0290"/>
    <w:rsid w:val="000A27A9"/>
    <w:rsid w:val="000B4EEC"/>
    <w:rsid w:val="000B51BB"/>
    <w:rsid w:val="000B60BA"/>
    <w:rsid w:val="000B6D21"/>
    <w:rsid w:val="000C0164"/>
    <w:rsid w:val="000C11B8"/>
    <w:rsid w:val="000C1C97"/>
    <w:rsid w:val="000C2C6C"/>
    <w:rsid w:val="000C33D4"/>
    <w:rsid w:val="000C435E"/>
    <w:rsid w:val="000C6AC0"/>
    <w:rsid w:val="000C7D69"/>
    <w:rsid w:val="000D173F"/>
    <w:rsid w:val="000D4F69"/>
    <w:rsid w:val="000D5720"/>
    <w:rsid w:val="000D6BA9"/>
    <w:rsid w:val="000E0C52"/>
    <w:rsid w:val="000E13B9"/>
    <w:rsid w:val="000E19C7"/>
    <w:rsid w:val="000E3B90"/>
    <w:rsid w:val="000E45A8"/>
    <w:rsid w:val="000E46DA"/>
    <w:rsid w:val="000E682D"/>
    <w:rsid w:val="000E6AC7"/>
    <w:rsid w:val="000E7212"/>
    <w:rsid w:val="000E7CBB"/>
    <w:rsid w:val="000F101D"/>
    <w:rsid w:val="000F11C7"/>
    <w:rsid w:val="000F2BBB"/>
    <w:rsid w:val="000F35C4"/>
    <w:rsid w:val="000F62DE"/>
    <w:rsid w:val="00100A2D"/>
    <w:rsid w:val="00100CB6"/>
    <w:rsid w:val="00101C20"/>
    <w:rsid w:val="00102C21"/>
    <w:rsid w:val="00103CAF"/>
    <w:rsid w:val="00103F1A"/>
    <w:rsid w:val="0010609F"/>
    <w:rsid w:val="00106244"/>
    <w:rsid w:val="00106CBA"/>
    <w:rsid w:val="00107BA8"/>
    <w:rsid w:val="00110706"/>
    <w:rsid w:val="00111272"/>
    <w:rsid w:val="00112595"/>
    <w:rsid w:val="00112A40"/>
    <w:rsid w:val="00114460"/>
    <w:rsid w:val="00115492"/>
    <w:rsid w:val="00116CBA"/>
    <w:rsid w:val="001174D6"/>
    <w:rsid w:val="0012126F"/>
    <w:rsid w:val="001232A9"/>
    <w:rsid w:val="001249F6"/>
    <w:rsid w:val="001273A0"/>
    <w:rsid w:val="001273DE"/>
    <w:rsid w:val="00127911"/>
    <w:rsid w:val="00132885"/>
    <w:rsid w:val="00134DC8"/>
    <w:rsid w:val="00140522"/>
    <w:rsid w:val="00141633"/>
    <w:rsid w:val="00141C1E"/>
    <w:rsid w:val="0014337C"/>
    <w:rsid w:val="00143B9C"/>
    <w:rsid w:val="0014450E"/>
    <w:rsid w:val="00145175"/>
    <w:rsid w:val="00146E7C"/>
    <w:rsid w:val="00153BA4"/>
    <w:rsid w:val="00154823"/>
    <w:rsid w:val="0015580D"/>
    <w:rsid w:val="00157EB4"/>
    <w:rsid w:val="00162D7E"/>
    <w:rsid w:val="00163C8F"/>
    <w:rsid w:val="00164D1B"/>
    <w:rsid w:val="001656AF"/>
    <w:rsid w:val="001659D9"/>
    <w:rsid w:val="00166764"/>
    <w:rsid w:val="0016734E"/>
    <w:rsid w:val="0017016E"/>
    <w:rsid w:val="0017113D"/>
    <w:rsid w:val="00172704"/>
    <w:rsid w:val="0017386D"/>
    <w:rsid w:val="00174532"/>
    <w:rsid w:val="00175072"/>
    <w:rsid w:val="001751B5"/>
    <w:rsid w:val="00176BBB"/>
    <w:rsid w:val="0018149E"/>
    <w:rsid w:val="00181A6B"/>
    <w:rsid w:val="00184C47"/>
    <w:rsid w:val="00185222"/>
    <w:rsid w:val="001853A1"/>
    <w:rsid w:val="00185F45"/>
    <w:rsid w:val="00186545"/>
    <w:rsid w:val="0018699C"/>
    <w:rsid w:val="00186D12"/>
    <w:rsid w:val="001876E6"/>
    <w:rsid w:val="0018778E"/>
    <w:rsid w:val="00187EFB"/>
    <w:rsid w:val="001930A5"/>
    <w:rsid w:val="00193B4B"/>
    <w:rsid w:val="00194394"/>
    <w:rsid w:val="00194DF6"/>
    <w:rsid w:val="00195DE8"/>
    <w:rsid w:val="0019754C"/>
    <w:rsid w:val="001A17F9"/>
    <w:rsid w:val="001A252A"/>
    <w:rsid w:val="001A26A2"/>
    <w:rsid w:val="001A5037"/>
    <w:rsid w:val="001A54AA"/>
    <w:rsid w:val="001A55C0"/>
    <w:rsid w:val="001A5E28"/>
    <w:rsid w:val="001A6583"/>
    <w:rsid w:val="001A6889"/>
    <w:rsid w:val="001A705F"/>
    <w:rsid w:val="001A7B31"/>
    <w:rsid w:val="001B04D0"/>
    <w:rsid w:val="001B11CA"/>
    <w:rsid w:val="001B2CB4"/>
    <w:rsid w:val="001B413F"/>
    <w:rsid w:val="001B44A2"/>
    <w:rsid w:val="001B6B4B"/>
    <w:rsid w:val="001C010A"/>
    <w:rsid w:val="001C0EC2"/>
    <w:rsid w:val="001C3CC9"/>
    <w:rsid w:val="001D0DC6"/>
    <w:rsid w:val="001D2D25"/>
    <w:rsid w:val="001D2DA2"/>
    <w:rsid w:val="001D3BF3"/>
    <w:rsid w:val="001D44B6"/>
    <w:rsid w:val="001D536E"/>
    <w:rsid w:val="001D5397"/>
    <w:rsid w:val="001D53E4"/>
    <w:rsid w:val="001E0115"/>
    <w:rsid w:val="001E0197"/>
    <w:rsid w:val="001E1992"/>
    <w:rsid w:val="001E1F47"/>
    <w:rsid w:val="001E73E3"/>
    <w:rsid w:val="001E7CB6"/>
    <w:rsid w:val="001E7E96"/>
    <w:rsid w:val="001F5B57"/>
    <w:rsid w:val="001F5D22"/>
    <w:rsid w:val="001F6400"/>
    <w:rsid w:val="001F7E35"/>
    <w:rsid w:val="00200553"/>
    <w:rsid w:val="00200A4A"/>
    <w:rsid w:val="00200C2C"/>
    <w:rsid w:val="00201351"/>
    <w:rsid w:val="00202A16"/>
    <w:rsid w:val="00206D88"/>
    <w:rsid w:val="00210993"/>
    <w:rsid w:val="002110FF"/>
    <w:rsid w:val="00211465"/>
    <w:rsid w:val="00211C61"/>
    <w:rsid w:val="002136BF"/>
    <w:rsid w:val="00217C1E"/>
    <w:rsid w:val="00217FD2"/>
    <w:rsid w:val="00220C63"/>
    <w:rsid w:val="00221415"/>
    <w:rsid w:val="00224A54"/>
    <w:rsid w:val="002262B7"/>
    <w:rsid w:val="00227B50"/>
    <w:rsid w:val="00230A8F"/>
    <w:rsid w:val="00231A11"/>
    <w:rsid w:val="00231F6A"/>
    <w:rsid w:val="002328E5"/>
    <w:rsid w:val="00232B26"/>
    <w:rsid w:val="00233C2F"/>
    <w:rsid w:val="00235410"/>
    <w:rsid w:val="00235FBC"/>
    <w:rsid w:val="00236F59"/>
    <w:rsid w:val="002413D0"/>
    <w:rsid w:val="002432AC"/>
    <w:rsid w:val="00245FB4"/>
    <w:rsid w:val="00247728"/>
    <w:rsid w:val="00250A81"/>
    <w:rsid w:val="0025149C"/>
    <w:rsid w:val="0025216E"/>
    <w:rsid w:val="002523DB"/>
    <w:rsid w:val="0025587B"/>
    <w:rsid w:val="0025602D"/>
    <w:rsid w:val="0025665D"/>
    <w:rsid w:val="00257CAB"/>
    <w:rsid w:val="00260162"/>
    <w:rsid w:val="002601E2"/>
    <w:rsid w:val="00260C4C"/>
    <w:rsid w:val="00261D6C"/>
    <w:rsid w:val="0026259A"/>
    <w:rsid w:val="00263A40"/>
    <w:rsid w:val="00263D78"/>
    <w:rsid w:val="00264B4F"/>
    <w:rsid w:val="00264E7C"/>
    <w:rsid w:val="00266EE3"/>
    <w:rsid w:val="00266F5D"/>
    <w:rsid w:val="00271937"/>
    <w:rsid w:val="00272549"/>
    <w:rsid w:val="002732C5"/>
    <w:rsid w:val="00273E21"/>
    <w:rsid w:val="0027492B"/>
    <w:rsid w:val="00274F4E"/>
    <w:rsid w:val="00275377"/>
    <w:rsid w:val="00275577"/>
    <w:rsid w:val="00275C10"/>
    <w:rsid w:val="00276E06"/>
    <w:rsid w:val="0028060A"/>
    <w:rsid w:val="00280AA3"/>
    <w:rsid w:val="0028437D"/>
    <w:rsid w:val="00284C5A"/>
    <w:rsid w:val="0028541C"/>
    <w:rsid w:val="0028585D"/>
    <w:rsid w:val="002860AF"/>
    <w:rsid w:val="00286C01"/>
    <w:rsid w:val="00291756"/>
    <w:rsid w:val="00293B8C"/>
    <w:rsid w:val="002940D4"/>
    <w:rsid w:val="00294D82"/>
    <w:rsid w:val="002958D3"/>
    <w:rsid w:val="00295E7A"/>
    <w:rsid w:val="00296ED8"/>
    <w:rsid w:val="002A05B6"/>
    <w:rsid w:val="002A2D46"/>
    <w:rsid w:val="002A4368"/>
    <w:rsid w:val="002A5568"/>
    <w:rsid w:val="002A698A"/>
    <w:rsid w:val="002A75D8"/>
    <w:rsid w:val="002B14F5"/>
    <w:rsid w:val="002B16FD"/>
    <w:rsid w:val="002B4A65"/>
    <w:rsid w:val="002B4B9E"/>
    <w:rsid w:val="002B4BD5"/>
    <w:rsid w:val="002B56A6"/>
    <w:rsid w:val="002B6E6F"/>
    <w:rsid w:val="002B78DC"/>
    <w:rsid w:val="002C2521"/>
    <w:rsid w:val="002C261C"/>
    <w:rsid w:val="002C2DD6"/>
    <w:rsid w:val="002C307E"/>
    <w:rsid w:val="002C6A84"/>
    <w:rsid w:val="002C7765"/>
    <w:rsid w:val="002D08C9"/>
    <w:rsid w:val="002D40A4"/>
    <w:rsid w:val="002D630D"/>
    <w:rsid w:val="002E07EE"/>
    <w:rsid w:val="002E20FE"/>
    <w:rsid w:val="002E2E0D"/>
    <w:rsid w:val="002E31F3"/>
    <w:rsid w:val="002E408F"/>
    <w:rsid w:val="002E7707"/>
    <w:rsid w:val="002F067F"/>
    <w:rsid w:val="002F06D3"/>
    <w:rsid w:val="002F2CFE"/>
    <w:rsid w:val="002F3C5C"/>
    <w:rsid w:val="002F67E3"/>
    <w:rsid w:val="002F755C"/>
    <w:rsid w:val="00301D68"/>
    <w:rsid w:val="00304056"/>
    <w:rsid w:val="00306068"/>
    <w:rsid w:val="00306FD1"/>
    <w:rsid w:val="00315F47"/>
    <w:rsid w:val="00316036"/>
    <w:rsid w:val="00317987"/>
    <w:rsid w:val="00321B23"/>
    <w:rsid w:val="00322881"/>
    <w:rsid w:val="00323A8B"/>
    <w:rsid w:val="00324B40"/>
    <w:rsid w:val="00326FE3"/>
    <w:rsid w:val="003319AB"/>
    <w:rsid w:val="00331FF7"/>
    <w:rsid w:val="00332551"/>
    <w:rsid w:val="003342DB"/>
    <w:rsid w:val="00334561"/>
    <w:rsid w:val="0033550F"/>
    <w:rsid w:val="003405CD"/>
    <w:rsid w:val="003406B6"/>
    <w:rsid w:val="00340A86"/>
    <w:rsid w:val="003428C9"/>
    <w:rsid w:val="003500AE"/>
    <w:rsid w:val="00350751"/>
    <w:rsid w:val="00350EDD"/>
    <w:rsid w:val="00351A03"/>
    <w:rsid w:val="003529E7"/>
    <w:rsid w:val="0035473B"/>
    <w:rsid w:val="00355E0C"/>
    <w:rsid w:val="003568A1"/>
    <w:rsid w:val="0036012A"/>
    <w:rsid w:val="0036097B"/>
    <w:rsid w:val="00360E03"/>
    <w:rsid w:val="003634B6"/>
    <w:rsid w:val="00363FF6"/>
    <w:rsid w:val="00364060"/>
    <w:rsid w:val="00366619"/>
    <w:rsid w:val="0036672F"/>
    <w:rsid w:val="0036718F"/>
    <w:rsid w:val="00367B87"/>
    <w:rsid w:val="00367F70"/>
    <w:rsid w:val="00372000"/>
    <w:rsid w:val="003733CD"/>
    <w:rsid w:val="00373DCD"/>
    <w:rsid w:val="00374C31"/>
    <w:rsid w:val="0037614E"/>
    <w:rsid w:val="0038422C"/>
    <w:rsid w:val="003868EE"/>
    <w:rsid w:val="00386F54"/>
    <w:rsid w:val="00392774"/>
    <w:rsid w:val="00392B91"/>
    <w:rsid w:val="00393B18"/>
    <w:rsid w:val="00393EDE"/>
    <w:rsid w:val="00394C86"/>
    <w:rsid w:val="00395B3A"/>
    <w:rsid w:val="003A32F6"/>
    <w:rsid w:val="003A579B"/>
    <w:rsid w:val="003A5BF1"/>
    <w:rsid w:val="003B13E1"/>
    <w:rsid w:val="003B39C9"/>
    <w:rsid w:val="003B76F8"/>
    <w:rsid w:val="003B7DE7"/>
    <w:rsid w:val="003C1B57"/>
    <w:rsid w:val="003C2427"/>
    <w:rsid w:val="003C31FD"/>
    <w:rsid w:val="003C330A"/>
    <w:rsid w:val="003C3AAF"/>
    <w:rsid w:val="003C5155"/>
    <w:rsid w:val="003C5618"/>
    <w:rsid w:val="003C6EF0"/>
    <w:rsid w:val="003C7A94"/>
    <w:rsid w:val="003D1966"/>
    <w:rsid w:val="003D1E36"/>
    <w:rsid w:val="003D2301"/>
    <w:rsid w:val="003D2D22"/>
    <w:rsid w:val="003D338F"/>
    <w:rsid w:val="003D4263"/>
    <w:rsid w:val="003D6036"/>
    <w:rsid w:val="003D6109"/>
    <w:rsid w:val="003D6409"/>
    <w:rsid w:val="003D6B09"/>
    <w:rsid w:val="003E02BD"/>
    <w:rsid w:val="003E0778"/>
    <w:rsid w:val="003E16DD"/>
    <w:rsid w:val="003E4173"/>
    <w:rsid w:val="003E7104"/>
    <w:rsid w:val="003E79C5"/>
    <w:rsid w:val="003F0A6E"/>
    <w:rsid w:val="003F23CB"/>
    <w:rsid w:val="003F3626"/>
    <w:rsid w:val="003F4A23"/>
    <w:rsid w:val="003F5202"/>
    <w:rsid w:val="003F6438"/>
    <w:rsid w:val="003F75E4"/>
    <w:rsid w:val="003F779C"/>
    <w:rsid w:val="003F7E52"/>
    <w:rsid w:val="00400235"/>
    <w:rsid w:val="0040792E"/>
    <w:rsid w:val="00407D61"/>
    <w:rsid w:val="004112AB"/>
    <w:rsid w:val="00411320"/>
    <w:rsid w:val="00413EA6"/>
    <w:rsid w:val="00415A2F"/>
    <w:rsid w:val="0041745C"/>
    <w:rsid w:val="00422144"/>
    <w:rsid w:val="004249C9"/>
    <w:rsid w:val="0042594B"/>
    <w:rsid w:val="00427B7E"/>
    <w:rsid w:val="00431C03"/>
    <w:rsid w:val="00431E10"/>
    <w:rsid w:val="0043433F"/>
    <w:rsid w:val="00434B62"/>
    <w:rsid w:val="00434D00"/>
    <w:rsid w:val="004357E6"/>
    <w:rsid w:val="004360F8"/>
    <w:rsid w:val="004373B5"/>
    <w:rsid w:val="00437839"/>
    <w:rsid w:val="004414C0"/>
    <w:rsid w:val="00442174"/>
    <w:rsid w:val="00443FC7"/>
    <w:rsid w:val="00444737"/>
    <w:rsid w:val="00447153"/>
    <w:rsid w:val="004472E4"/>
    <w:rsid w:val="004475B0"/>
    <w:rsid w:val="00447A65"/>
    <w:rsid w:val="00451291"/>
    <w:rsid w:val="004528A4"/>
    <w:rsid w:val="004531D9"/>
    <w:rsid w:val="00456D6C"/>
    <w:rsid w:val="00456F31"/>
    <w:rsid w:val="00457003"/>
    <w:rsid w:val="004645C3"/>
    <w:rsid w:val="00467A61"/>
    <w:rsid w:val="00467C07"/>
    <w:rsid w:val="00467D14"/>
    <w:rsid w:val="0047284A"/>
    <w:rsid w:val="00472C46"/>
    <w:rsid w:val="00472FBF"/>
    <w:rsid w:val="00473282"/>
    <w:rsid w:val="004736E1"/>
    <w:rsid w:val="00474B62"/>
    <w:rsid w:val="004755E4"/>
    <w:rsid w:val="00477E6D"/>
    <w:rsid w:val="004812DC"/>
    <w:rsid w:val="0048229F"/>
    <w:rsid w:val="00482E17"/>
    <w:rsid w:val="004849C6"/>
    <w:rsid w:val="00487324"/>
    <w:rsid w:val="00493883"/>
    <w:rsid w:val="00495846"/>
    <w:rsid w:val="004959E2"/>
    <w:rsid w:val="00496A2C"/>
    <w:rsid w:val="0049733D"/>
    <w:rsid w:val="0049779A"/>
    <w:rsid w:val="004979D5"/>
    <w:rsid w:val="004A0505"/>
    <w:rsid w:val="004A1143"/>
    <w:rsid w:val="004A11EA"/>
    <w:rsid w:val="004A1661"/>
    <w:rsid w:val="004A7A15"/>
    <w:rsid w:val="004B0799"/>
    <w:rsid w:val="004B1544"/>
    <w:rsid w:val="004B4B01"/>
    <w:rsid w:val="004C0DE4"/>
    <w:rsid w:val="004C0F51"/>
    <w:rsid w:val="004C484D"/>
    <w:rsid w:val="004C5DE2"/>
    <w:rsid w:val="004C6A08"/>
    <w:rsid w:val="004C7458"/>
    <w:rsid w:val="004C7681"/>
    <w:rsid w:val="004D11F6"/>
    <w:rsid w:val="004D1D41"/>
    <w:rsid w:val="004D2506"/>
    <w:rsid w:val="004D3E90"/>
    <w:rsid w:val="004D445F"/>
    <w:rsid w:val="004D56A6"/>
    <w:rsid w:val="004D5DF9"/>
    <w:rsid w:val="004E09BA"/>
    <w:rsid w:val="004E1AED"/>
    <w:rsid w:val="004E2B46"/>
    <w:rsid w:val="004E390D"/>
    <w:rsid w:val="004E3968"/>
    <w:rsid w:val="004E3BC2"/>
    <w:rsid w:val="004E63C7"/>
    <w:rsid w:val="004E75C8"/>
    <w:rsid w:val="004F3098"/>
    <w:rsid w:val="004F3D7A"/>
    <w:rsid w:val="004F5C3B"/>
    <w:rsid w:val="00500DB1"/>
    <w:rsid w:val="005021B7"/>
    <w:rsid w:val="00502BC8"/>
    <w:rsid w:val="0050301C"/>
    <w:rsid w:val="005047F9"/>
    <w:rsid w:val="00505466"/>
    <w:rsid w:val="00510368"/>
    <w:rsid w:val="00510EF3"/>
    <w:rsid w:val="00512171"/>
    <w:rsid w:val="00513E38"/>
    <w:rsid w:val="0051517C"/>
    <w:rsid w:val="0051557C"/>
    <w:rsid w:val="00515FF8"/>
    <w:rsid w:val="0051687E"/>
    <w:rsid w:val="00517358"/>
    <w:rsid w:val="00517FD5"/>
    <w:rsid w:val="005205E6"/>
    <w:rsid w:val="00520A28"/>
    <w:rsid w:val="0052166F"/>
    <w:rsid w:val="00521F09"/>
    <w:rsid w:val="00522A2C"/>
    <w:rsid w:val="005236AF"/>
    <w:rsid w:val="00523B67"/>
    <w:rsid w:val="00524E85"/>
    <w:rsid w:val="00524F9E"/>
    <w:rsid w:val="00525350"/>
    <w:rsid w:val="00525EFD"/>
    <w:rsid w:val="00526C64"/>
    <w:rsid w:val="00531E36"/>
    <w:rsid w:val="005322BC"/>
    <w:rsid w:val="005375EF"/>
    <w:rsid w:val="00540209"/>
    <w:rsid w:val="00540A38"/>
    <w:rsid w:val="005413AA"/>
    <w:rsid w:val="005425B7"/>
    <w:rsid w:val="0054288C"/>
    <w:rsid w:val="00542F8C"/>
    <w:rsid w:val="005432FB"/>
    <w:rsid w:val="0054412A"/>
    <w:rsid w:val="00544FCD"/>
    <w:rsid w:val="005464A9"/>
    <w:rsid w:val="00547014"/>
    <w:rsid w:val="00547DE8"/>
    <w:rsid w:val="00551F78"/>
    <w:rsid w:val="005523D1"/>
    <w:rsid w:val="005539C9"/>
    <w:rsid w:val="00555847"/>
    <w:rsid w:val="00557256"/>
    <w:rsid w:val="005577AF"/>
    <w:rsid w:val="00557F73"/>
    <w:rsid w:val="00560CDB"/>
    <w:rsid w:val="00564765"/>
    <w:rsid w:val="00564F2D"/>
    <w:rsid w:val="0056559A"/>
    <w:rsid w:val="00566B8C"/>
    <w:rsid w:val="0056712E"/>
    <w:rsid w:val="00570AC7"/>
    <w:rsid w:val="00575355"/>
    <w:rsid w:val="00575600"/>
    <w:rsid w:val="00576328"/>
    <w:rsid w:val="00576F19"/>
    <w:rsid w:val="0057732D"/>
    <w:rsid w:val="005773B1"/>
    <w:rsid w:val="005803C2"/>
    <w:rsid w:val="005809D4"/>
    <w:rsid w:val="005852D5"/>
    <w:rsid w:val="00586406"/>
    <w:rsid w:val="00587F6E"/>
    <w:rsid w:val="005900A1"/>
    <w:rsid w:val="00590370"/>
    <w:rsid w:val="00590BF4"/>
    <w:rsid w:val="00593B68"/>
    <w:rsid w:val="00597075"/>
    <w:rsid w:val="005A2486"/>
    <w:rsid w:val="005A4A9D"/>
    <w:rsid w:val="005A5525"/>
    <w:rsid w:val="005A58A3"/>
    <w:rsid w:val="005A5AC2"/>
    <w:rsid w:val="005B086C"/>
    <w:rsid w:val="005B0E7F"/>
    <w:rsid w:val="005B2B33"/>
    <w:rsid w:val="005B3074"/>
    <w:rsid w:val="005B3AA5"/>
    <w:rsid w:val="005B3E97"/>
    <w:rsid w:val="005B4B98"/>
    <w:rsid w:val="005B72A9"/>
    <w:rsid w:val="005C098F"/>
    <w:rsid w:val="005C0B80"/>
    <w:rsid w:val="005C12A5"/>
    <w:rsid w:val="005C2A34"/>
    <w:rsid w:val="005C39C1"/>
    <w:rsid w:val="005C5C11"/>
    <w:rsid w:val="005D272C"/>
    <w:rsid w:val="005D31BA"/>
    <w:rsid w:val="005E2FD9"/>
    <w:rsid w:val="005E68B7"/>
    <w:rsid w:val="005F11F1"/>
    <w:rsid w:val="005F1414"/>
    <w:rsid w:val="005F6225"/>
    <w:rsid w:val="0060166F"/>
    <w:rsid w:val="00603E03"/>
    <w:rsid w:val="00607745"/>
    <w:rsid w:val="006101AB"/>
    <w:rsid w:val="0061294B"/>
    <w:rsid w:val="00613F53"/>
    <w:rsid w:val="006155B8"/>
    <w:rsid w:val="006155E7"/>
    <w:rsid w:val="00616997"/>
    <w:rsid w:val="00616C1A"/>
    <w:rsid w:val="006170A6"/>
    <w:rsid w:val="00617F0A"/>
    <w:rsid w:val="00621287"/>
    <w:rsid w:val="00622470"/>
    <w:rsid w:val="00622926"/>
    <w:rsid w:val="00622DEE"/>
    <w:rsid w:val="0062434D"/>
    <w:rsid w:val="006254A6"/>
    <w:rsid w:val="00626109"/>
    <w:rsid w:val="006317E6"/>
    <w:rsid w:val="006325B1"/>
    <w:rsid w:val="0063266E"/>
    <w:rsid w:val="00635CF2"/>
    <w:rsid w:val="00635E46"/>
    <w:rsid w:val="006363DA"/>
    <w:rsid w:val="00636BD0"/>
    <w:rsid w:val="006370DF"/>
    <w:rsid w:val="0064229D"/>
    <w:rsid w:val="006423E8"/>
    <w:rsid w:val="006428F6"/>
    <w:rsid w:val="00642FBA"/>
    <w:rsid w:val="00644FAF"/>
    <w:rsid w:val="00645E1B"/>
    <w:rsid w:val="00646888"/>
    <w:rsid w:val="00650288"/>
    <w:rsid w:val="00650C06"/>
    <w:rsid w:val="00650DDC"/>
    <w:rsid w:val="006510F9"/>
    <w:rsid w:val="006522A0"/>
    <w:rsid w:val="0065522F"/>
    <w:rsid w:val="00656163"/>
    <w:rsid w:val="00656C8D"/>
    <w:rsid w:val="00656F60"/>
    <w:rsid w:val="00657649"/>
    <w:rsid w:val="00657A08"/>
    <w:rsid w:val="00657E60"/>
    <w:rsid w:val="00666EFB"/>
    <w:rsid w:val="006676A7"/>
    <w:rsid w:val="00667FC4"/>
    <w:rsid w:val="00670B1F"/>
    <w:rsid w:val="0067208A"/>
    <w:rsid w:val="006734E5"/>
    <w:rsid w:val="00674E68"/>
    <w:rsid w:val="00676867"/>
    <w:rsid w:val="006768FB"/>
    <w:rsid w:val="00676F10"/>
    <w:rsid w:val="00677616"/>
    <w:rsid w:val="00677C20"/>
    <w:rsid w:val="006806AC"/>
    <w:rsid w:val="00681387"/>
    <w:rsid w:val="00682B90"/>
    <w:rsid w:val="00682C18"/>
    <w:rsid w:val="00682F59"/>
    <w:rsid w:val="00685081"/>
    <w:rsid w:val="0068535D"/>
    <w:rsid w:val="006865E3"/>
    <w:rsid w:val="00686A69"/>
    <w:rsid w:val="00687246"/>
    <w:rsid w:val="00691E20"/>
    <w:rsid w:val="00693F5D"/>
    <w:rsid w:val="00694024"/>
    <w:rsid w:val="00694674"/>
    <w:rsid w:val="006950ED"/>
    <w:rsid w:val="006951EF"/>
    <w:rsid w:val="00695AB9"/>
    <w:rsid w:val="006967EE"/>
    <w:rsid w:val="006A0076"/>
    <w:rsid w:val="006A0583"/>
    <w:rsid w:val="006A13F9"/>
    <w:rsid w:val="006A2FD1"/>
    <w:rsid w:val="006A43BF"/>
    <w:rsid w:val="006A6981"/>
    <w:rsid w:val="006A7D28"/>
    <w:rsid w:val="006B0435"/>
    <w:rsid w:val="006B5240"/>
    <w:rsid w:val="006B66A4"/>
    <w:rsid w:val="006B780C"/>
    <w:rsid w:val="006C0BD7"/>
    <w:rsid w:val="006C0D05"/>
    <w:rsid w:val="006C2631"/>
    <w:rsid w:val="006C3457"/>
    <w:rsid w:val="006C4DBA"/>
    <w:rsid w:val="006D0639"/>
    <w:rsid w:val="006D4406"/>
    <w:rsid w:val="006D4CA5"/>
    <w:rsid w:val="006D570C"/>
    <w:rsid w:val="006D6A38"/>
    <w:rsid w:val="006D6CA1"/>
    <w:rsid w:val="006D7EC9"/>
    <w:rsid w:val="006E02D8"/>
    <w:rsid w:val="006E1730"/>
    <w:rsid w:val="006E1C7D"/>
    <w:rsid w:val="006E287E"/>
    <w:rsid w:val="006E4E38"/>
    <w:rsid w:val="006E4E8B"/>
    <w:rsid w:val="006E755A"/>
    <w:rsid w:val="006F4BCB"/>
    <w:rsid w:val="006F4D7B"/>
    <w:rsid w:val="006F567D"/>
    <w:rsid w:val="006F58FB"/>
    <w:rsid w:val="006F758A"/>
    <w:rsid w:val="00701C26"/>
    <w:rsid w:val="00703B82"/>
    <w:rsid w:val="0070607B"/>
    <w:rsid w:val="00706FFC"/>
    <w:rsid w:val="00707C89"/>
    <w:rsid w:val="00710C08"/>
    <w:rsid w:val="00714366"/>
    <w:rsid w:val="0071591D"/>
    <w:rsid w:val="00715E7C"/>
    <w:rsid w:val="00716FB9"/>
    <w:rsid w:val="007178F0"/>
    <w:rsid w:val="00720AC8"/>
    <w:rsid w:val="00721AFA"/>
    <w:rsid w:val="0072401F"/>
    <w:rsid w:val="0072421B"/>
    <w:rsid w:val="007248D4"/>
    <w:rsid w:val="00726802"/>
    <w:rsid w:val="0073093C"/>
    <w:rsid w:val="0073114B"/>
    <w:rsid w:val="007332E4"/>
    <w:rsid w:val="00735025"/>
    <w:rsid w:val="00736182"/>
    <w:rsid w:val="007363D0"/>
    <w:rsid w:val="00740504"/>
    <w:rsid w:val="007406D3"/>
    <w:rsid w:val="007407AC"/>
    <w:rsid w:val="00743C7C"/>
    <w:rsid w:val="00745F9F"/>
    <w:rsid w:val="0074703F"/>
    <w:rsid w:val="00747364"/>
    <w:rsid w:val="00751C22"/>
    <w:rsid w:val="00753DB6"/>
    <w:rsid w:val="00760167"/>
    <w:rsid w:val="0076230F"/>
    <w:rsid w:val="0076575D"/>
    <w:rsid w:val="00766AB0"/>
    <w:rsid w:val="0077087F"/>
    <w:rsid w:val="00770BD3"/>
    <w:rsid w:val="00771C7E"/>
    <w:rsid w:val="00771D74"/>
    <w:rsid w:val="00773822"/>
    <w:rsid w:val="007754A0"/>
    <w:rsid w:val="0077716A"/>
    <w:rsid w:val="00777F96"/>
    <w:rsid w:val="00780938"/>
    <w:rsid w:val="0078149E"/>
    <w:rsid w:val="00781E9F"/>
    <w:rsid w:val="007838BD"/>
    <w:rsid w:val="00783F45"/>
    <w:rsid w:val="0078502B"/>
    <w:rsid w:val="00785D95"/>
    <w:rsid w:val="007869C0"/>
    <w:rsid w:val="00786C05"/>
    <w:rsid w:val="00787AC1"/>
    <w:rsid w:val="00790622"/>
    <w:rsid w:val="00792258"/>
    <w:rsid w:val="0079285D"/>
    <w:rsid w:val="007955D9"/>
    <w:rsid w:val="00795C3C"/>
    <w:rsid w:val="007966F1"/>
    <w:rsid w:val="00797A9B"/>
    <w:rsid w:val="007A049D"/>
    <w:rsid w:val="007A1F82"/>
    <w:rsid w:val="007A271F"/>
    <w:rsid w:val="007A2A74"/>
    <w:rsid w:val="007A38A8"/>
    <w:rsid w:val="007A6242"/>
    <w:rsid w:val="007A62FB"/>
    <w:rsid w:val="007A667B"/>
    <w:rsid w:val="007A6E0D"/>
    <w:rsid w:val="007A75EA"/>
    <w:rsid w:val="007B07B1"/>
    <w:rsid w:val="007B1FE2"/>
    <w:rsid w:val="007B3BDF"/>
    <w:rsid w:val="007B6CDF"/>
    <w:rsid w:val="007B711A"/>
    <w:rsid w:val="007B7B2E"/>
    <w:rsid w:val="007C0967"/>
    <w:rsid w:val="007C14E0"/>
    <w:rsid w:val="007C1D40"/>
    <w:rsid w:val="007C20E0"/>
    <w:rsid w:val="007C2694"/>
    <w:rsid w:val="007C38B6"/>
    <w:rsid w:val="007C64D4"/>
    <w:rsid w:val="007C6B5A"/>
    <w:rsid w:val="007C7DEE"/>
    <w:rsid w:val="007D18ED"/>
    <w:rsid w:val="007D4DD1"/>
    <w:rsid w:val="007D5AC9"/>
    <w:rsid w:val="007D7A45"/>
    <w:rsid w:val="007E0713"/>
    <w:rsid w:val="007E1225"/>
    <w:rsid w:val="007E2155"/>
    <w:rsid w:val="007E271A"/>
    <w:rsid w:val="007E2813"/>
    <w:rsid w:val="007E4FDE"/>
    <w:rsid w:val="007E53F2"/>
    <w:rsid w:val="007E7639"/>
    <w:rsid w:val="007E7673"/>
    <w:rsid w:val="007F0661"/>
    <w:rsid w:val="007F0A07"/>
    <w:rsid w:val="007F4C88"/>
    <w:rsid w:val="007F4FD5"/>
    <w:rsid w:val="00800B54"/>
    <w:rsid w:val="00802F65"/>
    <w:rsid w:val="008035DD"/>
    <w:rsid w:val="0080385B"/>
    <w:rsid w:val="00804F32"/>
    <w:rsid w:val="0080634B"/>
    <w:rsid w:val="0080671C"/>
    <w:rsid w:val="00806EC5"/>
    <w:rsid w:val="008075B6"/>
    <w:rsid w:val="008101FA"/>
    <w:rsid w:val="00810FB4"/>
    <w:rsid w:val="008149A2"/>
    <w:rsid w:val="00815655"/>
    <w:rsid w:val="00815A1F"/>
    <w:rsid w:val="008168E3"/>
    <w:rsid w:val="0081717D"/>
    <w:rsid w:val="008179BE"/>
    <w:rsid w:val="00821F9B"/>
    <w:rsid w:val="0082323E"/>
    <w:rsid w:val="0082391C"/>
    <w:rsid w:val="00823FB9"/>
    <w:rsid w:val="00827C54"/>
    <w:rsid w:val="008330DB"/>
    <w:rsid w:val="008372AA"/>
    <w:rsid w:val="00837E3F"/>
    <w:rsid w:val="00841493"/>
    <w:rsid w:val="0084290A"/>
    <w:rsid w:val="008431BF"/>
    <w:rsid w:val="00843287"/>
    <w:rsid w:val="008448D6"/>
    <w:rsid w:val="0084493A"/>
    <w:rsid w:val="00847E80"/>
    <w:rsid w:val="008515F1"/>
    <w:rsid w:val="00854B6B"/>
    <w:rsid w:val="0085518B"/>
    <w:rsid w:val="00860130"/>
    <w:rsid w:val="00860CAC"/>
    <w:rsid w:val="00862B72"/>
    <w:rsid w:val="00863F9C"/>
    <w:rsid w:val="00864C71"/>
    <w:rsid w:val="00865943"/>
    <w:rsid w:val="00867389"/>
    <w:rsid w:val="008727E8"/>
    <w:rsid w:val="00872988"/>
    <w:rsid w:val="008733D0"/>
    <w:rsid w:val="008733E4"/>
    <w:rsid w:val="00874032"/>
    <w:rsid w:val="00877B38"/>
    <w:rsid w:val="008801D8"/>
    <w:rsid w:val="00880CE3"/>
    <w:rsid w:val="00881745"/>
    <w:rsid w:val="00882B51"/>
    <w:rsid w:val="00885F6B"/>
    <w:rsid w:val="00886F4A"/>
    <w:rsid w:val="008872C4"/>
    <w:rsid w:val="00887AC2"/>
    <w:rsid w:val="00887C86"/>
    <w:rsid w:val="00892F99"/>
    <w:rsid w:val="00893035"/>
    <w:rsid w:val="00893470"/>
    <w:rsid w:val="008935AF"/>
    <w:rsid w:val="008A2590"/>
    <w:rsid w:val="008A355B"/>
    <w:rsid w:val="008A365F"/>
    <w:rsid w:val="008A4289"/>
    <w:rsid w:val="008A5039"/>
    <w:rsid w:val="008A6EC7"/>
    <w:rsid w:val="008B20F4"/>
    <w:rsid w:val="008B2140"/>
    <w:rsid w:val="008B34AD"/>
    <w:rsid w:val="008B3D6D"/>
    <w:rsid w:val="008B4E77"/>
    <w:rsid w:val="008B6EC1"/>
    <w:rsid w:val="008C1169"/>
    <w:rsid w:val="008C35AF"/>
    <w:rsid w:val="008C4026"/>
    <w:rsid w:val="008C50ED"/>
    <w:rsid w:val="008D056D"/>
    <w:rsid w:val="008D0AC6"/>
    <w:rsid w:val="008D1A63"/>
    <w:rsid w:val="008D3842"/>
    <w:rsid w:val="008D3A7C"/>
    <w:rsid w:val="008D5C3B"/>
    <w:rsid w:val="008D7BC5"/>
    <w:rsid w:val="008E06D7"/>
    <w:rsid w:val="008E57BB"/>
    <w:rsid w:val="008E5F3F"/>
    <w:rsid w:val="008E734F"/>
    <w:rsid w:val="008F02D9"/>
    <w:rsid w:val="008F293B"/>
    <w:rsid w:val="008F2EE1"/>
    <w:rsid w:val="008F4CEA"/>
    <w:rsid w:val="008F5312"/>
    <w:rsid w:val="008F559F"/>
    <w:rsid w:val="008F5E18"/>
    <w:rsid w:val="008F6EB2"/>
    <w:rsid w:val="00902278"/>
    <w:rsid w:val="00905B1F"/>
    <w:rsid w:val="00906D0F"/>
    <w:rsid w:val="0090755A"/>
    <w:rsid w:val="00910B6C"/>
    <w:rsid w:val="00914FFF"/>
    <w:rsid w:val="009177FF"/>
    <w:rsid w:val="00920B37"/>
    <w:rsid w:val="00921E6E"/>
    <w:rsid w:val="00922FF1"/>
    <w:rsid w:val="009234E1"/>
    <w:rsid w:val="00924854"/>
    <w:rsid w:val="00924F26"/>
    <w:rsid w:val="0093020B"/>
    <w:rsid w:val="00932686"/>
    <w:rsid w:val="00937790"/>
    <w:rsid w:val="00941B92"/>
    <w:rsid w:val="00943B45"/>
    <w:rsid w:val="00945613"/>
    <w:rsid w:val="00946157"/>
    <w:rsid w:val="009512FA"/>
    <w:rsid w:val="0095154D"/>
    <w:rsid w:val="00952892"/>
    <w:rsid w:val="00954405"/>
    <w:rsid w:val="009544D1"/>
    <w:rsid w:val="00954E5B"/>
    <w:rsid w:val="0095713B"/>
    <w:rsid w:val="009603A4"/>
    <w:rsid w:val="00960952"/>
    <w:rsid w:val="00964F8D"/>
    <w:rsid w:val="00965798"/>
    <w:rsid w:val="00970139"/>
    <w:rsid w:val="0097049A"/>
    <w:rsid w:val="009735C3"/>
    <w:rsid w:val="009831EC"/>
    <w:rsid w:val="00983993"/>
    <w:rsid w:val="00985CA6"/>
    <w:rsid w:val="009863AD"/>
    <w:rsid w:val="0098690E"/>
    <w:rsid w:val="00994FE7"/>
    <w:rsid w:val="009954C4"/>
    <w:rsid w:val="009957CC"/>
    <w:rsid w:val="00995CC2"/>
    <w:rsid w:val="0099633A"/>
    <w:rsid w:val="00996AF6"/>
    <w:rsid w:val="0099767F"/>
    <w:rsid w:val="009978DD"/>
    <w:rsid w:val="00997A28"/>
    <w:rsid w:val="009A143B"/>
    <w:rsid w:val="009A73B5"/>
    <w:rsid w:val="009B10EB"/>
    <w:rsid w:val="009B2AA2"/>
    <w:rsid w:val="009B37EF"/>
    <w:rsid w:val="009B3FDE"/>
    <w:rsid w:val="009B542C"/>
    <w:rsid w:val="009B6E88"/>
    <w:rsid w:val="009C0BCD"/>
    <w:rsid w:val="009C2973"/>
    <w:rsid w:val="009C3687"/>
    <w:rsid w:val="009C3D58"/>
    <w:rsid w:val="009C555B"/>
    <w:rsid w:val="009C5FD7"/>
    <w:rsid w:val="009C72BF"/>
    <w:rsid w:val="009C768D"/>
    <w:rsid w:val="009C79B3"/>
    <w:rsid w:val="009D0B2B"/>
    <w:rsid w:val="009D18E3"/>
    <w:rsid w:val="009D1DA4"/>
    <w:rsid w:val="009D2842"/>
    <w:rsid w:val="009D28E0"/>
    <w:rsid w:val="009D4528"/>
    <w:rsid w:val="009D5827"/>
    <w:rsid w:val="009D5B30"/>
    <w:rsid w:val="009D72E9"/>
    <w:rsid w:val="009D7779"/>
    <w:rsid w:val="009E196E"/>
    <w:rsid w:val="009E27D3"/>
    <w:rsid w:val="009E39BA"/>
    <w:rsid w:val="009E3A1F"/>
    <w:rsid w:val="009E3CF8"/>
    <w:rsid w:val="009E41CE"/>
    <w:rsid w:val="009E6554"/>
    <w:rsid w:val="009F33FE"/>
    <w:rsid w:val="009F3920"/>
    <w:rsid w:val="009F49D3"/>
    <w:rsid w:val="009F50E7"/>
    <w:rsid w:val="009F5383"/>
    <w:rsid w:val="009F7346"/>
    <w:rsid w:val="00A00157"/>
    <w:rsid w:val="00A0249A"/>
    <w:rsid w:val="00A028CB"/>
    <w:rsid w:val="00A038A5"/>
    <w:rsid w:val="00A03C77"/>
    <w:rsid w:val="00A0418B"/>
    <w:rsid w:val="00A048D6"/>
    <w:rsid w:val="00A10626"/>
    <w:rsid w:val="00A119BF"/>
    <w:rsid w:val="00A1310C"/>
    <w:rsid w:val="00A15E69"/>
    <w:rsid w:val="00A17E3F"/>
    <w:rsid w:val="00A2139B"/>
    <w:rsid w:val="00A21BF3"/>
    <w:rsid w:val="00A23716"/>
    <w:rsid w:val="00A24F33"/>
    <w:rsid w:val="00A25C62"/>
    <w:rsid w:val="00A26197"/>
    <w:rsid w:val="00A27799"/>
    <w:rsid w:val="00A307B0"/>
    <w:rsid w:val="00A31494"/>
    <w:rsid w:val="00A33820"/>
    <w:rsid w:val="00A35A2E"/>
    <w:rsid w:val="00A3620E"/>
    <w:rsid w:val="00A403ED"/>
    <w:rsid w:val="00A405CC"/>
    <w:rsid w:val="00A40B68"/>
    <w:rsid w:val="00A43DF0"/>
    <w:rsid w:val="00A45169"/>
    <w:rsid w:val="00A45EEA"/>
    <w:rsid w:val="00A4759E"/>
    <w:rsid w:val="00A47645"/>
    <w:rsid w:val="00A513FC"/>
    <w:rsid w:val="00A515E0"/>
    <w:rsid w:val="00A540AE"/>
    <w:rsid w:val="00A557A4"/>
    <w:rsid w:val="00A55978"/>
    <w:rsid w:val="00A569C8"/>
    <w:rsid w:val="00A576FF"/>
    <w:rsid w:val="00A618FC"/>
    <w:rsid w:val="00A62847"/>
    <w:rsid w:val="00A630D5"/>
    <w:rsid w:val="00A646DE"/>
    <w:rsid w:val="00A65030"/>
    <w:rsid w:val="00A6519C"/>
    <w:rsid w:val="00A670C6"/>
    <w:rsid w:val="00A679F6"/>
    <w:rsid w:val="00A67A2F"/>
    <w:rsid w:val="00A70A71"/>
    <w:rsid w:val="00A71FB0"/>
    <w:rsid w:val="00A72A1F"/>
    <w:rsid w:val="00A73458"/>
    <w:rsid w:val="00A83EC4"/>
    <w:rsid w:val="00A84298"/>
    <w:rsid w:val="00A849E7"/>
    <w:rsid w:val="00A85F88"/>
    <w:rsid w:val="00A867BB"/>
    <w:rsid w:val="00A87DA6"/>
    <w:rsid w:val="00A90088"/>
    <w:rsid w:val="00A9096A"/>
    <w:rsid w:val="00A91D57"/>
    <w:rsid w:val="00A93771"/>
    <w:rsid w:val="00A93B3F"/>
    <w:rsid w:val="00A94C92"/>
    <w:rsid w:val="00A959B6"/>
    <w:rsid w:val="00A95BE8"/>
    <w:rsid w:val="00A95C4F"/>
    <w:rsid w:val="00A97190"/>
    <w:rsid w:val="00AA0ECA"/>
    <w:rsid w:val="00AA2736"/>
    <w:rsid w:val="00AA3CDF"/>
    <w:rsid w:val="00AA4A0F"/>
    <w:rsid w:val="00AA6ECB"/>
    <w:rsid w:val="00AA7601"/>
    <w:rsid w:val="00AA7D81"/>
    <w:rsid w:val="00AB0B6C"/>
    <w:rsid w:val="00AB0FEA"/>
    <w:rsid w:val="00AB3F8F"/>
    <w:rsid w:val="00AB6D2C"/>
    <w:rsid w:val="00AB7A2D"/>
    <w:rsid w:val="00AC0568"/>
    <w:rsid w:val="00AC262A"/>
    <w:rsid w:val="00AC331B"/>
    <w:rsid w:val="00AC398B"/>
    <w:rsid w:val="00AC495F"/>
    <w:rsid w:val="00AC6D08"/>
    <w:rsid w:val="00AC7DF8"/>
    <w:rsid w:val="00AD1428"/>
    <w:rsid w:val="00AD37AB"/>
    <w:rsid w:val="00AD37BB"/>
    <w:rsid w:val="00AD3B15"/>
    <w:rsid w:val="00AD4F45"/>
    <w:rsid w:val="00AE0911"/>
    <w:rsid w:val="00AE1B0B"/>
    <w:rsid w:val="00AE2363"/>
    <w:rsid w:val="00AE2784"/>
    <w:rsid w:val="00AE30F0"/>
    <w:rsid w:val="00AE316B"/>
    <w:rsid w:val="00AE323E"/>
    <w:rsid w:val="00AE5503"/>
    <w:rsid w:val="00AE5F5B"/>
    <w:rsid w:val="00AE6AD9"/>
    <w:rsid w:val="00AE7822"/>
    <w:rsid w:val="00AF079F"/>
    <w:rsid w:val="00AF2148"/>
    <w:rsid w:val="00AF2D76"/>
    <w:rsid w:val="00AF30FD"/>
    <w:rsid w:val="00AF5299"/>
    <w:rsid w:val="00AF64BA"/>
    <w:rsid w:val="00B0059C"/>
    <w:rsid w:val="00B04544"/>
    <w:rsid w:val="00B04579"/>
    <w:rsid w:val="00B11638"/>
    <w:rsid w:val="00B12A54"/>
    <w:rsid w:val="00B12F20"/>
    <w:rsid w:val="00B16283"/>
    <w:rsid w:val="00B16440"/>
    <w:rsid w:val="00B20AA3"/>
    <w:rsid w:val="00B20D40"/>
    <w:rsid w:val="00B243F3"/>
    <w:rsid w:val="00B2509A"/>
    <w:rsid w:val="00B25CEC"/>
    <w:rsid w:val="00B25E02"/>
    <w:rsid w:val="00B263EF"/>
    <w:rsid w:val="00B26B70"/>
    <w:rsid w:val="00B3014C"/>
    <w:rsid w:val="00B30BD0"/>
    <w:rsid w:val="00B31B53"/>
    <w:rsid w:val="00B32A20"/>
    <w:rsid w:val="00B32EFA"/>
    <w:rsid w:val="00B33775"/>
    <w:rsid w:val="00B3548A"/>
    <w:rsid w:val="00B35509"/>
    <w:rsid w:val="00B35B97"/>
    <w:rsid w:val="00B400E0"/>
    <w:rsid w:val="00B405DC"/>
    <w:rsid w:val="00B42F7A"/>
    <w:rsid w:val="00B43A49"/>
    <w:rsid w:val="00B44E62"/>
    <w:rsid w:val="00B4604B"/>
    <w:rsid w:val="00B47BC2"/>
    <w:rsid w:val="00B50AF1"/>
    <w:rsid w:val="00B52437"/>
    <w:rsid w:val="00B556D0"/>
    <w:rsid w:val="00B56197"/>
    <w:rsid w:val="00B56B3E"/>
    <w:rsid w:val="00B613A5"/>
    <w:rsid w:val="00B62104"/>
    <w:rsid w:val="00B622B1"/>
    <w:rsid w:val="00B630A7"/>
    <w:rsid w:val="00B639A9"/>
    <w:rsid w:val="00B66969"/>
    <w:rsid w:val="00B672F7"/>
    <w:rsid w:val="00B70860"/>
    <w:rsid w:val="00B7149A"/>
    <w:rsid w:val="00B73499"/>
    <w:rsid w:val="00B73EEE"/>
    <w:rsid w:val="00B745E3"/>
    <w:rsid w:val="00B7725D"/>
    <w:rsid w:val="00B77A4E"/>
    <w:rsid w:val="00B842DD"/>
    <w:rsid w:val="00B85ED5"/>
    <w:rsid w:val="00B91CFB"/>
    <w:rsid w:val="00B923B5"/>
    <w:rsid w:val="00B9309E"/>
    <w:rsid w:val="00B93E8A"/>
    <w:rsid w:val="00B966C9"/>
    <w:rsid w:val="00B96967"/>
    <w:rsid w:val="00BA09EA"/>
    <w:rsid w:val="00BA0DCD"/>
    <w:rsid w:val="00BA1A59"/>
    <w:rsid w:val="00BA1F87"/>
    <w:rsid w:val="00BA22AE"/>
    <w:rsid w:val="00BA2E9E"/>
    <w:rsid w:val="00BA5B8E"/>
    <w:rsid w:val="00BA7590"/>
    <w:rsid w:val="00BB2947"/>
    <w:rsid w:val="00BB3F39"/>
    <w:rsid w:val="00BB4EE8"/>
    <w:rsid w:val="00BB4F8A"/>
    <w:rsid w:val="00BB726A"/>
    <w:rsid w:val="00BC084D"/>
    <w:rsid w:val="00BC0C69"/>
    <w:rsid w:val="00BC0FD6"/>
    <w:rsid w:val="00BC1A3A"/>
    <w:rsid w:val="00BC301A"/>
    <w:rsid w:val="00BC39AC"/>
    <w:rsid w:val="00BC426C"/>
    <w:rsid w:val="00BC5414"/>
    <w:rsid w:val="00BC5AC2"/>
    <w:rsid w:val="00BC6A8D"/>
    <w:rsid w:val="00BC6CAB"/>
    <w:rsid w:val="00BD1DA8"/>
    <w:rsid w:val="00BD1DB1"/>
    <w:rsid w:val="00BD3844"/>
    <w:rsid w:val="00BD67E8"/>
    <w:rsid w:val="00BE0A8A"/>
    <w:rsid w:val="00BE194B"/>
    <w:rsid w:val="00BE2B43"/>
    <w:rsid w:val="00BE46E6"/>
    <w:rsid w:val="00BE7CE7"/>
    <w:rsid w:val="00BF047E"/>
    <w:rsid w:val="00BF1A40"/>
    <w:rsid w:val="00BF1F89"/>
    <w:rsid w:val="00BF3A79"/>
    <w:rsid w:val="00BF43AC"/>
    <w:rsid w:val="00BF53E0"/>
    <w:rsid w:val="00BF57AF"/>
    <w:rsid w:val="00BF60F6"/>
    <w:rsid w:val="00BF7C5A"/>
    <w:rsid w:val="00C021AD"/>
    <w:rsid w:val="00C042F3"/>
    <w:rsid w:val="00C05E9E"/>
    <w:rsid w:val="00C060D0"/>
    <w:rsid w:val="00C0680C"/>
    <w:rsid w:val="00C07C52"/>
    <w:rsid w:val="00C118C5"/>
    <w:rsid w:val="00C125DD"/>
    <w:rsid w:val="00C12617"/>
    <w:rsid w:val="00C12E2E"/>
    <w:rsid w:val="00C130BE"/>
    <w:rsid w:val="00C16B5A"/>
    <w:rsid w:val="00C16C0A"/>
    <w:rsid w:val="00C20255"/>
    <w:rsid w:val="00C2239C"/>
    <w:rsid w:val="00C22412"/>
    <w:rsid w:val="00C22807"/>
    <w:rsid w:val="00C238F8"/>
    <w:rsid w:val="00C24462"/>
    <w:rsid w:val="00C2651D"/>
    <w:rsid w:val="00C27105"/>
    <w:rsid w:val="00C27380"/>
    <w:rsid w:val="00C27811"/>
    <w:rsid w:val="00C308A4"/>
    <w:rsid w:val="00C30AEC"/>
    <w:rsid w:val="00C32010"/>
    <w:rsid w:val="00C32AAD"/>
    <w:rsid w:val="00C32AC9"/>
    <w:rsid w:val="00C350C0"/>
    <w:rsid w:val="00C35D6B"/>
    <w:rsid w:val="00C3661D"/>
    <w:rsid w:val="00C36B84"/>
    <w:rsid w:val="00C36B86"/>
    <w:rsid w:val="00C36D2F"/>
    <w:rsid w:val="00C41946"/>
    <w:rsid w:val="00C44D2E"/>
    <w:rsid w:val="00C4697D"/>
    <w:rsid w:val="00C473D1"/>
    <w:rsid w:val="00C53717"/>
    <w:rsid w:val="00C53E29"/>
    <w:rsid w:val="00C603AE"/>
    <w:rsid w:val="00C604EE"/>
    <w:rsid w:val="00C6086D"/>
    <w:rsid w:val="00C629C2"/>
    <w:rsid w:val="00C63F16"/>
    <w:rsid w:val="00C645AE"/>
    <w:rsid w:val="00C64C47"/>
    <w:rsid w:val="00C654FA"/>
    <w:rsid w:val="00C67387"/>
    <w:rsid w:val="00C6792B"/>
    <w:rsid w:val="00C74465"/>
    <w:rsid w:val="00C7505C"/>
    <w:rsid w:val="00C76A4A"/>
    <w:rsid w:val="00C82A4D"/>
    <w:rsid w:val="00C82CAB"/>
    <w:rsid w:val="00C84A10"/>
    <w:rsid w:val="00C85197"/>
    <w:rsid w:val="00C856CE"/>
    <w:rsid w:val="00C903E1"/>
    <w:rsid w:val="00C938FA"/>
    <w:rsid w:val="00C947A4"/>
    <w:rsid w:val="00C94F59"/>
    <w:rsid w:val="00C951BE"/>
    <w:rsid w:val="00C952F9"/>
    <w:rsid w:val="00C95B60"/>
    <w:rsid w:val="00C960A8"/>
    <w:rsid w:val="00C970A4"/>
    <w:rsid w:val="00CA014F"/>
    <w:rsid w:val="00CA1C74"/>
    <w:rsid w:val="00CA1FAB"/>
    <w:rsid w:val="00CA2273"/>
    <w:rsid w:val="00CA3C2F"/>
    <w:rsid w:val="00CB0421"/>
    <w:rsid w:val="00CB0711"/>
    <w:rsid w:val="00CC035A"/>
    <w:rsid w:val="00CC08BA"/>
    <w:rsid w:val="00CC19BF"/>
    <w:rsid w:val="00CC4CDB"/>
    <w:rsid w:val="00CC6EFB"/>
    <w:rsid w:val="00CD0244"/>
    <w:rsid w:val="00CD1696"/>
    <w:rsid w:val="00CD2BB6"/>
    <w:rsid w:val="00CD2DE4"/>
    <w:rsid w:val="00CD3AB8"/>
    <w:rsid w:val="00CD43B6"/>
    <w:rsid w:val="00CE25E2"/>
    <w:rsid w:val="00CE4147"/>
    <w:rsid w:val="00CE469B"/>
    <w:rsid w:val="00CE47FC"/>
    <w:rsid w:val="00CE6222"/>
    <w:rsid w:val="00CF1243"/>
    <w:rsid w:val="00CF325F"/>
    <w:rsid w:val="00CF672D"/>
    <w:rsid w:val="00CF7895"/>
    <w:rsid w:val="00D00221"/>
    <w:rsid w:val="00D003AE"/>
    <w:rsid w:val="00D00DBB"/>
    <w:rsid w:val="00D023C2"/>
    <w:rsid w:val="00D03670"/>
    <w:rsid w:val="00D05B27"/>
    <w:rsid w:val="00D102D1"/>
    <w:rsid w:val="00D12264"/>
    <w:rsid w:val="00D13931"/>
    <w:rsid w:val="00D15D01"/>
    <w:rsid w:val="00D15F47"/>
    <w:rsid w:val="00D163E7"/>
    <w:rsid w:val="00D17C90"/>
    <w:rsid w:val="00D20C33"/>
    <w:rsid w:val="00D21007"/>
    <w:rsid w:val="00D2265C"/>
    <w:rsid w:val="00D24A2C"/>
    <w:rsid w:val="00D25377"/>
    <w:rsid w:val="00D26292"/>
    <w:rsid w:val="00D266F1"/>
    <w:rsid w:val="00D26884"/>
    <w:rsid w:val="00D272CC"/>
    <w:rsid w:val="00D27B43"/>
    <w:rsid w:val="00D32452"/>
    <w:rsid w:val="00D3318E"/>
    <w:rsid w:val="00D33C06"/>
    <w:rsid w:val="00D406D9"/>
    <w:rsid w:val="00D40C3E"/>
    <w:rsid w:val="00D40E85"/>
    <w:rsid w:val="00D41D9B"/>
    <w:rsid w:val="00D423BE"/>
    <w:rsid w:val="00D47A97"/>
    <w:rsid w:val="00D511C7"/>
    <w:rsid w:val="00D5185A"/>
    <w:rsid w:val="00D519A3"/>
    <w:rsid w:val="00D53005"/>
    <w:rsid w:val="00D53F71"/>
    <w:rsid w:val="00D541D1"/>
    <w:rsid w:val="00D568DA"/>
    <w:rsid w:val="00D601F3"/>
    <w:rsid w:val="00D61ACB"/>
    <w:rsid w:val="00D6256C"/>
    <w:rsid w:val="00D62F9E"/>
    <w:rsid w:val="00D65C40"/>
    <w:rsid w:val="00D72285"/>
    <w:rsid w:val="00D72982"/>
    <w:rsid w:val="00D75F9D"/>
    <w:rsid w:val="00D769FE"/>
    <w:rsid w:val="00D77402"/>
    <w:rsid w:val="00D814C9"/>
    <w:rsid w:val="00D81887"/>
    <w:rsid w:val="00D83E9C"/>
    <w:rsid w:val="00D84B57"/>
    <w:rsid w:val="00D84C1C"/>
    <w:rsid w:val="00D86A89"/>
    <w:rsid w:val="00D90569"/>
    <w:rsid w:val="00D92FC6"/>
    <w:rsid w:val="00D9603D"/>
    <w:rsid w:val="00D96C60"/>
    <w:rsid w:val="00D96FE9"/>
    <w:rsid w:val="00D97771"/>
    <w:rsid w:val="00DA184E"/>
    <w:rsid w:val="00DA1E66"/>
    <w:rsid w:val="00DA6CBB"/>
    <w:rsid w:val="00DA750F"/>
    <w:rsid w:val="00DA7CB9"/>
    <w:rsid w:val="00DB0C1B"/>
    <w:rsid w:val="00DB2274"/>
    <w:rsid w:val="00DB3282"/>
    <w:rsid w:val="00DB4D28"/>
    <w:rsid w:val="00DB65E8"/>
    <w:rsid w:val="00DB6992"/>
    <w:rsid w:val="00DC0CD5"/>
    <w:rsid w:val="00DC1E54"/>
    <w:rsid w:val="00DC3F82"/>
    <w:rsid w:val="00DC47AF"/>
    <w:rsid w:val="00DC4FDD"/>
    <w:rsid w:val="00DC5BAB"/>
    <w:rsid w:val="00DC5DE9"/>
    <w:rsid w:val="00DC68B1"/>
    <w:rsid w:val="00DC71FC"/>
    <w:rsid w:val="00DD6A6D"/>
    <w:rsid w:val="00DE156A"/>
    <w:rsid w:val="00DE2A0F"/>
    <w:rsid w:val="00DE342D"/>
    <w:rsid w:val="00DE3596"/>
    <w:rsid w:val="00DE496A"/>
    <w:rsid w:val="00DE4A09"/>
    <w:rsid w:val="00DE596B"/>
    <w:rsid w:val="00DE5A50"/>
    <w:rsid w:val="00DE78B6"/>
    <w:rsid w:val="00DF079A"/>
    <w:rsid w:val="00DF2DFA"/>
    <w:rsid w:val="00DF7706"/>
    <w:rsid w:val="00E011A0"/>
    <w:rsid w:val="00E03018"/>
    <w:rsid w:val="00E04824"/>
    <w:rsid w:val="00E05F13"/>
    <w:rsid w:val="00E065B5"/>
    <w:rsid w:val="00E06D32"/>
    <w:rsid w:val="00E13799"/>
    <w:rsid w:val="00E139AE"/>
    <w:rsid w:val="00E1593E"/>
    <w:rsid w:val="00E200CA"/>
    <w:rsid w:val="00E20F0F"/>
    <w:rsid w:val="00E212A4"/>
    <w:rsid w:val="00E223BC"/>
    <w:rsid w:val="00E26276"/>
    <w:rsid w:val="00E2696E"/>
    <w:rsid w:val="00E27AA5"/>
    <w:rsid w:val="00E32077"/>
    <w:rsid w:val="00E32C1B"/>
    <w:rsid w:val="00E34FD5"/>
    <w:rsid w:val="00E35412"/>
    <w:rsid w:val="00E35D5F"/>
    <w:rsid w:val="00E35D78"/>
    <w:rsid w:val="00E3614A"/>
    <w:rsid w:val="00E36A34"/>
    <w:rsid w:val="00E36A4D"/>
    <w:rsid w:val="00E3786B"/>
    <w:rsid w:val="00E379F2"/>
    <w:rsid w:val="00E40FAC"/>
    <w:rsid w:val="00E41961"/>
    <w:rsid w:val="00E4324A"/>
    <w:rsid w:val="00E43668"/>
    <w:rsid w:val="00E4533E"/>
    <w:rsid w:val="00E45459"/>
    <w:rsid w:val="00E45B8F"/>
    <w:rsid w:val="00E45DB9"/>
    <w:rsid w:val="00E47D8D"/>
    <w:rsid w:val="00E5130F"/>
    <w:rsid w:val="00E524C0"/>
    <w:rsid w:val="00E52E37"/>
    <w:rsid w:val="00E54568"/>
    <w:rsid w:val="00E54EDA"/>
    <w:rsid w:val="00E54FB9"/>
    <w:rsid w:val="00E564E4"/>
    <w:rsid w:val="00E56FE5"/>
    <w:rsid w:val="00E574DE"/>
    <w:rsid w:val="00E5752B"/>
    <w:rsid w:val="00E5792B"/>
    <w:rsid w:val="00E607E3"/>
    <w:rsid w:val="00E60E59"/>
    <w:rsid w:val="00E63583"/>
    <w:rsid w:val="00E63BE3"/>
    <w:rsid w:val="00E66207"/>
    <w:rsid w:val="00E66331"/>
    <w:rsid w:val="00E72318"/>
    <w:rsid w:val="00E72395"/>
    <w:rsid w:val="00E724F5"/>
    <w:rsid w:val="00E76786"/>
    <w:rsid w:val="00E770CE"/>
    <w:rsid w:val="00E77AEF"/>
    <w:rsid w:val="00E804C2"/>
    <w:rsid w:val="00E80AA3"/>
    <w:rsid w:val="00E81DE2"/>
    <w:rsid w:val="00E82AD9"/>
    <w:rsid w:val="00E840EE"/>
    <w:rsid w:val="00E86003"/>
    <w:rsid w:val="00E862D9"/>
    <w:rsid w:val="00E92219"/>
    <w:rsid w:val="00E9247B"/>
    <w:rsid w:val="00E92A99"/>
    <w:rsid w:val="00E92C54"/>
    <w:rsid w:val="00E93C11"/>
    <w:rsid w:val="00E94AC3"/>
    <w:rsid w:val="00E9559E"/>
    <w:rsid w:val="00E95778"/>
    <w:rsid w:val="00E95996"/>
    <w:rsid w:val="00E96E04"/>
    <w:rsid w:val="00E9748E"/>
    <w:rsid w:val="00E976A8"/>
    <w:rsid w:val="00E97769"/>
    <w:rsid w:val="00E97B4E"/>
    <w:rsid w:val="00EA089E"/>
    <w:rsid w:val="00EA1626"/>
    <w:rsid w:val="00EA180F"/>
    <w:rsid w:val="00EA1A98"/>
    <w:rsid w:val="00EA1BAD"/>
    <w:rsid w:val="00EA2F6C"/>
    <w:rsid w:val="00EA36EB"/>
    <w:rsid w:val="00EA463C"/>
    <w:rsid w:val="00EA5A20"/>
    <w:rsid w:val="00EA7C4F"/>
    <w:rsid w:val="00EB00BF"/>
    <w:rsid w:val="00EB2BC7"/>
    <w:rsid w:val="00EB3668"/>
    <w:rsid w:val="00EB4824"/>
    <w:rsid w:val="00EB5D14"/>
    <w:rsid w:val="00EB5ED9"/>
    <w:rsid w:val="00EB6720"/>
    <w:rsid w:val="00EC0070"/>
    <w:rsid w:val="00EC1D9E"/>
    <w:rsid w:val="00EC2A5E"/>
    <w:rsid w:val="00EC3A68"/>
    <w:rsid w:val="00EC47E8"/>
    <w:rsid w:val="00EC537A"/>
    <w:rsid w:val="00EC6AE3"/>
    <w:rsid w:val="00EC727C"/>
    <w:rsid w:val="00EC7E72"/>
    <w:rsid w:val="00EC7F39"/>
    <w:rsid w:val="00ED3960"/>
    <w:rsid w:val="00ED40D5"/>
    <w:rsid w:val="00ED5274"/>
    <w:rsid w:val="00ED5C05"/>
    <w:rsid w:val="00ED62AF"/>
    <w:rsid w:val="00ED641B"/>
    <w:rsid w:val="00ED69C1"/>
    <w:rsid w:val="00ED7282"/>
    <w:rsid w:val="00ED7A07"/>
    <w:rsid w:val="00EE0399"/>
    <w:rsid w:val="00EE59A2"/>
    <w:rsid w:val="00EE7EC1"/>
    <w:rsid w:val="00EF0090"/>
    <w:rsid w:val="00EF0CAB"/>
    <w:rsid w:val="00EF1FB9"/>
    <w:rsid w:val="00EF3466"/>
    <w:rsid w:val="00EF44E1"/>
    <w:rsid w:val="00EF73D9"/>
    <w:rsid w:val="00EF7469"/>
    <w:rsid w:val="00EF7AE8"/>
    <w:rsid w:val="00F01A78"/>
    <w:rsid w:val="00F0476E"/>
    <w:rsid w:val="00F048D0"/>
    <w:rsid w:val="00F050D7"/>
    <w:rsid w:val="00F067FE"/>
    <w:rsid w:val="00F06972"/>
    <w:rsid w:val="00F10489"/>
    <w:rsid w:val="00F10D84"/>
    <w:rsid w:val="00F1397D"/>
    <w:rsid w:val="00F14701"/>
    <w:rsid w:val="00F149B6"/>
    <w:rsid w:val="00F1677A"/>
    <w:rsid w:val="00F1744F"/>
    <w:rsid w:val="00F20917"/>
    <w:rsid w:val="00F211F6"/>
    <w:rsid w:val="00F22F34"/>
    <w:rsid w:val="00F231E6"/>
    <w:rsid w:val="00F253D7"/>
    <w:rsid w:val="00F2764C"/>
    <w:rsid w:val="00F279FF"/>
    <w:rsid w:val="00F301EE"/>
    <w:rsid w:val="00F3172F"/>
    <w:rsid w:val="00F33E25"/>
    <w:rsid w:val="00F3513D"/>
    <w:rsid w:val="00F36303"/>
    <w:rsid w:val="00F36B80"/>
    <w:rsid w:val="00F36D3D"/>
    <w:rsid w:val="00F376B4"/>
    <w:rsid w:val="00F410F1"/>
    <w:rsid w:val="00F43FE3"/>
    <w:rsid w:val="00F462E1"/>
    <w:rsid w:val="00F50967"/>
    <w:rsid w:val="00F51C3B"/>
    <w:rsid w:val="00F52085"/>
    <w:rsid w:val="00F53459"/>
    <w:rsid w:val="00F5375E"/>
    <w:rsid w:val="00F53FC9"/>
    <w:rsid w:val="00F54508"/>
    <w:rsid w:val="00F558F1"/>
    <w:rsid w:val="00F55A42"/>
    <w:rsid w:val="00F5600D"/>
    <w:rsid w:val="00F571C9"/>
    <w:rsid w:val="00F57382"/>
    <w:rsid w:val="00F61E1E"/>
    <w:rsid w:val="00F62884"/>
    <w:rsid w:val="00F636C1"/>
    <w:rsid w:val="00F663E7"/>
    <w:rsid w:val="00F713B9"/>
    <w:rsid w:val="00F7491F"/>
    <w:rsid w:val="00F75F2E"/>
    <w:rsid w:val="00F77855"/>
    <w:rsid w:val="00F77F9F"/>
    <w:rsid w:val="00F83650"/>
    <w:rsid w:val="00F83E02"/>
    <w:rsid w:val="00F845EB"/>
    <w:rsid w:val="00F87EE7"/>
    <w:rsid w:val="00F9116E"/>
    <w:rsid w:val="00F91E9F"/>
    <w:rsid w:val="00F92135"/>
    <w:rsid w:val="00F92260"/>
    <w:rsid w:val="00F9228C"/>
    <w:rsid w:val="00F9347F"/>
    <w:rsid w:val="00FA054A"/>
    <w:rsid w:val="00FA108C"/>
    <w:rsid w:val="00FA20DE"/>
    <w:rsid w:val="00FA2466"/>
    <w:rsid w:val="00FA2683"/>
    <w:rsid w:val="00FA79C7"/>
    <w:rsid w:val="00FA7B07"/>
    <w:rsid w:val="00FA7B62"/>
    <w:rsid w:val="00FB0BAA"/>
    <w:rsid w:val="00FB2B3F"/>
    <w:rsid w:val="00FB338C"/>
    <w:rsid w:val="00FB33AB"/>
    <w:rsid w:val="00FB497E"/>
    <w:rsid w:val="00FB4A9E"/>
    <w:rsid w:val="00FB4DFE"/>
    <w:rsid w:val="00FB507B"/>
    <w:rsid w:val="00FB583F"/>
    <w:rsid w:val="00FB5F30"/>
    <w:rsid w:val="00FB62EC"/>
    <w:rsid w:val="00FB6583"/>
    <w:rsid w:val="00FC4E3A"/>
    <w:rsid w:val="00FC5D1C"/>
    <w:rsid w:val="00FC65E8"/>
    <w:rsid w:val="00FC7B6B"/>
    <w:rsid w:val="00FD25FD"/>
    <w:rsid w:val="00FD4FAF"/>
    <w:rsid w:val="00FD538C"/>
    <w:rsid w:val="00FD53A4"/>
    <w:rsid w:val="00FD5999"/>
    <w:rsid w:val="00FE07D6"/>
    <w:rsid w:val="00FE0931"/>
    <w:rsid w:val="00FE1069"/>
    <w:rsid w:val="00FE1342"/>
    <w:rsid w:val="00FE1F84"/>
    <w:rsid w:val="00FE36B2"/>
    <w:rsid w:val="00FE409B"/>
    <w:rsid w:val="00FE48EE"/>
    <w:rsid w:val="00FE4C78"/>
    <w:rsid w:val="00FE4DBE"/>
    <w:rsid w:val="00FE6B7F"/>
    <w:rsid w:val="00FF0282"/>
    <w:rsid w:val="00FF030D"/>
    <w:rsid w:val="00FF0B7F"/>
    <w:rsid w:val="00FF0C9C"/>
    <w:rsid w:val="00FF1577"/>
    <w:rsid w:val="00FF1E42"/>
    <w:rsid w:val="00FF4A57"/>
    <w:rsid w:val="00FF4EE3"/>
    <w:rsid w:val="00FF5589"/>
    <w:rsid w:val="00FF6177"/>
    <w:rsid w:val="00FF65B0"/>
    <w:rsid w:val="00FF6661"/>
    <w:rsid w:val="00FF76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3000"/>
  <w15:docId w15:val="{775270DB-1342-40CF-9CE6-B911CF74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0706"/>
    <w:rPr>
      <w:rFonts w:ascii="Calibri" w:hAnsi="Calibri" w:cs="Calibri"/>
    </w:rPr>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0"/>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0"/>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unhideWhenUsed/>
    <w:rsid w:val="00D47A97"/>
    <w:pPr>
      <w:spacing w:line="240" w:lineRule="auto"/>
    </w:pPr>
    <w:rPr>
      <w:szCs w:val="20"/>
    </w:rPr>
  </w:style>
  <w:style w:type="character" w:customStyle="1" w:styleId="CommentTextChar">
    <w:name w:val="Comment Text Char"/>
    <w:basedOn w:val="DefaultParagraphFont"/>
    <w:link w:val="CommentText"/>
    <w:uiPriority w:val="99"/>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aliases w:val="Char Char,Char,ft,single space,footnote text,fn,Footnote Text Char Char Char Char,FOOTNOTES,Footnote Text Char Char Char,Footnote Text Char Char,ft Char Char Char,ADB,(NECG) Footnote Text,Char Char Char Char,Footnote Text Char2,f"/>
    <w:basedOn w:val="Normal"/>
    <w:link w:val="FootnoteTextChar"/>
    <w:uiPriority w:val="99"/>
    <w:unhideWhenUsed/>
    <w:qFormat/>
    <w:rsid w:val="00D47A97"/>
    <w:pPr>
      <w:spacing w:before="0" w:after="0" w:line="240" w:lineRule="auto"/>
    </w:pPr>
    <w:rPr>
      <w:szCs w:val="20"/>
    </w:rPr>
  </w:style>
  <w:style w:type="character" w:customStyle="1" w:styleId="FootnoteTextChar">
    <w:name w:val="Footnote Text Char"/>
    <w:aliases w:val="Char Char Char,Char Char1,ft Char,single space Char,footnote text Char,fn Char,Footnote Text Char Char Char Char Char,FOOTNOTES Char,Footnote Text Char Char Char Char1,Footnote Text Char Char Char1,ft Char Char Char Char,ADB Char"/>
    <w:basedOn w:val="DefaultParagraphFont"/>
    <w:link w:val="FootnoteText"/>
    <w:uiPriority w:val="99"/>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aliases w:val="Heading 2.,Bullets,List Paragraph1,Recommendation,List Paragraph11,List Paragraph (numbered (a)),Bullet point,L,CV text,F5 List Paragraph,Dot pt,Colorful List - Accent 11,No Spacing1,List Paragraph Char Char Char,Indicator Text,Liste 1"/>
    <w:basedOn w:val="Normal"/>
    <w:link w:val="ListParagraphChar"/>
    <w:uiPriority w:val="34"/>
    <w:qFormat/>
    <w:rsid w:val="00771C7E"/>
    <w:pPr>
      <w:spacing w:before="0" w:after="160" w:line="259" w:lineRule="auto"/>
      <w:ind w:left="720"/>
      <w:contextualSpacing/>
    </w:pPr>
    <w:rPr>
      <w:rFonts w:eastAsiaTheme="minorHAnsi"/>
      <w:lang w:val="en-AU" w:eastAsia="en-US"/>
    </w:rPr>
  </w:style>
  <w:style w:type="character" w:styleId="FootnoteReference">
    <w:name w:val="footnote reference"/>
    <w:aliases w:val="Normal + Font:9 Point,Superscript 3 Point Times,ftref,(NECG) Footnote Reference,Ref,de nota al pie,FnR-ANZDEC,Fußnotenzeichen DISS,fr,16 Point,Superscript 6 Point,Footnote Ref in FtNote,SUPERS,BVI fnr,Footnote Reference1"/>
    <w:basedOn w:val="DefaultParagraphFont"/>
    <w:uiPriority w:val="99"/>
    <w:unhideWhenUsed/>
    <w:rsid w:val="00AE6AD9"/>
    <w:rPr>
      <w:vertAlign w:val="superscript"/>
    </w:rPr>
  </w:style>
  <w:style w:type="character" w:customStyle="1" w:styleId="ListParagraphChar">
    <w:name w:val="List Paragraph Char"/>
    <w:aliases w:val="Heading 2. Char,Bullets Char,List Paragraph1 Char,Recommendation Char,List Paragraph11 Char,List Paragraph (numbered (a)) Char,Bullet point Char,L Char,CV text Char,F5 List Paragraph Char,Dot pt Char,Colorful List - Accent 11 Char"/>
    <w:link w:val="ListParagraph"/>
    <w:uiPriority w:val="34"/>
    <w:qFormat/>
    <w:locked/>
    <w:rsid w:val="00A93771"/>
    <w:rPr>
      <w:rFonts w:eastAsiaTheme="minorHAnsi"/>
      <w:lang w:val="en-AU" w:eastAsia="en-US"/>
    </w:rPr>
  </w:style>
  <w:style w:type="paragraph" w:customStyle="1" w:styleId="paragraph">
    <w:name w:val="paragraph"/>
    <w:basedOn w:val="Normal"/>
    <w:rsid w:val="00F845EB"/>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normaltextrun">
    <w:name w:val="normaltextrun"/>
    <w:basedOn w:val="DefaultParagraphFont"/>
    <w:rsid w:val="00F845EB"/>
  </w:style>
  <w:style w:type="character" w:customStyle="1" w:styleId="eop">
    <w:name w:val="eop"/>
    <w:basedOn w:val="DefaultParagraphFont"/>
    <w:rsid w:val="00F845EB"/>
  </w:style>
  <w:style w:type="character" w:customStyle="1" w:styleId="contextualspellingandgrammarerror">
    <w:name w:val="contextualspellingandgrammarerror"/>
    <w:basedOn w:val="DefaultParagraphFont"/>
    <w:rsid w:val="00F845EB"/>
  </w:style>
  <w:style w:type="paragraph" w:styleId="Revision">
    <w:name w:val="Revision"/>
    <w:hidden/>
    <w:uiPriority w:val="99"/>
    <w:semiHidden/>
    <w:rsid w:val="00395B3A"/>
    <w:pPr>
      <w:spacing w:before="0" w:after="0" w:line="240" w:lineRule="auto"/>
    </w:pPr>
  </w:style>
  <w:style w:type="table" w:customStyle="1" w:styleId="TableGrid1">
    <w:name w:val="Table Grid1"/>
    <w:basedOn w:val="TableNormal"/>
    <w:next w:val="TableGrid"/>
    <w:uiPriority w:val="39"/>
    <w:rsid w:val="003F3626"/>
    <w:pPr>
      <w:spacing w:after="0" w:line="240" w:lineRule="auto"/>
    </w:pPr>
    <w:rPr>
      <w:rFonts w:eastAsia="SimSun"/>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paragraph" w:styleId="TOC1">
    <w:name w:val="toc 1"/>
    <w:basedOn w:val="Normal"/>
    <w:next w:val="Normal"/>
    <w:autoRedefine/>
    <w:uiPriority w:val="39"/>
    <w:unhideWhenUsed/>
    <w:rsid w:val="003B76F8"/>
    <w:pPr>
      <w:tabs>
        <w:tab w:val="right" w:leader="dot" w:pos="9350"/>
      </w:tabs>
      <w:spacing w:before="0" w:after="0" w:line="276" w:lineRule="auto"/>
    </w:pPr>
  </w:style>
  <w:style w:type="paragraph" w:styleId="TOC2">
    <w:name w:val="toc 2"/>
    <w:basedOn w:val="Normal"/>
    <w:next w:val="Normal"/>
    <w:autoRedefine/>
    <w:uiPriority w:val="39"/>
    <w:unhideWhenUsed/>
    <w:rsid w:val="002E07EE"/>
    <w:pPr>
      <w:tabs>
        <w:tab w:val="right" w:leader="dot" w:pos="9350"/>
      </w:tabs>
      <w:ind w:left="220"/>
    </w:pPr>
  </w:style>
  <w:style w:type="paragraph" w:styleId="TOC3">
    <w:name w:val="toc 3"/>
    <w:basedOn w:val="Normal"/>
    <w:next w:val="Normal"/>
    <w:autoRedefine/>
    <w:uiPriority w:val="39"/>
    <w:unhideWhenUsed/>
    <w:rsid w:val="00BE46E6"/>
    <w:pPr>
      <w:ind w:left="440"/>
    </w:pPr>
  </w:style>
  <w:style w:type="paragraph" w:styleId="TOC4">
    <w:name w:val="toc 4"/>
    <w:basedOn w:val="Normal"/>
    <w:next w:val="Normal"/>
    <w:autoRedefine/>
    <w:uiPriority w:val="39"/>
    <w:unhideWhenUsed/>
    <w:rsid w:val="00BE46E6"/>
    <w:pPr>
      <w:ind w:left="660"/>
    </w:pPr>
  </w:style>
  <w:style w:type="paragraph" w:styleId="TOC5">
    <w:name w:val="toc 5"/>
    <w:basedOn w:val="Normal"/>
    <w:next w:val="Normal"/>
    <w:autoRedefine/>
    <w:uiPriority w:val="39"/>
    <w:unhideWhenUsed/>
    <w:rsid w:val="00BE46E6"/>
    <w:pPr>
      <w:ind w:left="880"/>
    </w:pPr>
  </w:style>
  <w:style w:type="paragraph" w:styleId="TOC6">
    <w:name w:val="toc 6"/>
    <w:basedOn w:val="Normal"/>
    <w:next w:val="Normal"/>
    <w:autoRedefine/>
    <w:uiPriority w:val="39"/>
    <w:unhideWhenUsed/>
    <w:rsid w:val="00BE46E6"/>
    <w:pPr>
      <w:ind w:left="1100"/>
    </w:pPr>
  </w:style>
  <w:style w:type="paragraph" w:styleId="TOC7">
    <w:name w:val="toc 7"/>
    <w:basedOn w:val="Normal"/>
    <w:next w:val="Normal"/>
    <w:autoRedefine/>
    <w:uiPriority w:val="39"/>
    <w:unhideWhenUsed/>
    <w:rsid w:val="00BE46E6"/>
    <w:pPr>
      <w:ind w:left="1320"/>
    </w:pPr>
  </w:style>
  <w:style w:type="paragraph" w:styleId="TOC8">
    <w:name w:val="toc 8"/>
    <w:basedOn w:val="Normal"/>
    <w:next w:val="Normal"/>
    <w:autoRedefine/>
    <w:uiPriority w:val="39"/>
    <w:unhideWhenUsed/>
    <w:rsid w:val="00BE46E6"/>
    <w:pPr>
      <w:ind w:left="1540"/>
    </w:pPr>
  </w:style>
  <w:style w:type="paragraph" w:styleId="TOC9">
    <w:name w:val="toc 9"/>
    <w:basedOn w:val="Normal"/>
    <w:next w:val="Normal"/>
    <w:autoRedefine/>
    <w:uiPriority w:val="39"/>
    <w:unhideWhenUsed/>
    <w:rsid w:val="00BE46E6"/>
    <w:pPr>
      <w:ind w:left="1760"/>
    </w:pPr>
  </w:style>
  <w:style w:type="character" w:styleId="Hyperlink">
    <w:name w:val="Hyperlink"/>
    <w:basedOn w:val="DefaultParagraphFont"/>
    <w:uiPriority w:val="99"/>
    <w:unhideWhenUsed/>
    <w:rsid w:val="00BE46E6"/>
    <w:rPr>
      <w:color w:val="005DBA" w:themeColor="hyperlink"/>
      <w:u w:val="single"/>
    </w:rPr>
  </w:style>
  <w:style w:type="table" w:customStyle="1" w:styleId="TableGrid2">
    <w:name w:val="Table Grid2"/>
    <w:basedOn w:val="TableNormal"/>
    <w:next w:val="TableGrid"/>
    <w:uiPriority w:val="59"/>
    <w:rsid w:val="003D1E36"/>
    <w:pPr>
      <w:spacing w:before="0"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uiPriority w:val="49"/>
    <w:rsid w:val="00B4604B"/>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tcBorders>
        <w:shd w:val="clear" w:color="auto" w:fill="828288" w:themeFill="accent5"/>
      </w:tcPr>
    </w:tblStylePr>
    <w:tblStylePr w:type="lastRow">
      <w:rPr>
        <w:b/>
        <w:bCs/>
      </w:rPr>
      <w:tblPr/>
      <w:tcPr>
        <w:tcBorders>
          <w:top w:val="double" w:sz="4" w:space="0" w:color="B3B3B7" w:themeColor="accent5" w:themeTint="99"/>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paragraph" w:styleId="NoSpacing">
    <w:name w:val="No Spacing"/>
    <w:link w:val="NoSpacingChar"/>
    <w:uiPriority w:val="1"/>
    <w:qFormat/>
    <w:rsid w:val="00985CA6"/>
    <w:pPr>
      <w:spacing w:before="0" w:after="0" w:line="240" w:lineRule="auto"/>
    </w:pPr>
    <w:rPr>
      <w:lang w:eastAsia="en-US"/>
    </w:rPr>
  </w:style>
  <w:style w:type="character" w:customStyle="1" w:styleId="NoSpacingChar">
    <w:name w:val="No Spacing Char"/>
    <w:basedOn w:val="DefaultParagraphFont"/>
    <w:link w:val="NoSpacing"/>
    <w:uiPriority w:val="1"/>
    <w:rsid w:val="00985CA6"/>
    <w:rPr>
      <w:lang w:eastAsia="en-US"/>
    </w:rPr>
  </w:style>
  <w:style w:type="table" w:customStyle="1" w:styleId="GridTable4-Accent51">
    <w:name w:val="Grid Table 4 - Accent 51"/>
    <w:basedOn w:val="TableNormal"/>
    <w:uiPriority w:val="49"/>
    <w:rsid w:val="00E94AC3"/>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2221465">
      <w:bodyDiv w:val="1"/>
      <w:marLeft w:val="0"/>
      <w:marRight w:val="0"/>
      <w:marTop w:val="0"/>
      <w:marBottom w:val="0"/>
      <w:divBdr>
        <w:top w:val="none" w:sz="0" w:space="0" w:color="auto"/>
        <w:left w:val="none" w:sz="0" w:space="0" w:color="auto"/>
        <w:bottom w:val="none" w:sz="0" w:space="0" w:color="auto"/>
        <w:right w:val="none" w:sz="0" w:space="0" w:color="auto"/>
      </w:divBdr>
    </w:div>
    <w:div w:id="169561919">
      <w:bodyDiv w:val="1"/>
      <w:marLeft w:val="0"/>
      <w:marRight w:val="0"/>
      <w:marTop w:val="0"/>
      <w:marBottom w:val="0"/>
      <w:divBdr>
        <w:top w:val="none" w:sz="0" w:space="0" w:color="auto"/>
        <w:left w:val="none" w:sz="0" w:space="0" w:color="auto"/>
        <w:bottom w:val="none" w:sz="0" w:space="0" w:color="auto"/>
        <w:right w:val="none" w:sz="0" w:space="0" w:color="auto"/>
      </w:divBdr>
    </w:div>
    <w:div w:id="493689946">
      <w:bodyDiv w:val="1"/>
      <w:marLeft w:val="0"/>
      <w:marRight w:val="0"/>
      <w:marTop w:val="0"/>
      <w:marBottom w:val="0"/>
      <w:divBdr>
        <w:top w:val="none" w:sz="0" w:space="0" w:color="auto"/>
        <w:left w:val="none" w:sz="0" w:space="0" w:color="auto"/>
        <w:bottom w:val="none" w:sz="0" w:space="0" w:color="auto"/>
        <w:right w:val="none" w:sz="0" w:space="0" w:color="auto"/>
      </w:divBdr>
    </w:div>
    <w:div w:id="60812889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34256221">
      <w:bodyDiv w:val="1"/>
      <w:marLeft w:val="0"/>
      <w:marRight w:val="0"/>
      <w:marTop w:val="0"/>
      <w:marBottom w:val="0"/>
      <w:divBdr>
        <w:top w:val="none" w:sz="0" w:space="0" w:color="auto"/>
        <w:left w:val="none" w:sz="0" w:space="0" w:color="auto"/>
        <w:bottom w:val="none" w:sz="0" w:space="0" w:color="auto"/>
        <w:right w:val="none" w:sz="0" w:space="0" w:color="auto"/>
      </w:divBdr>
      <w:divsChild>
        <w:div w:id="1875843275">
          <w:marLeft w:val="0"/>
          <w:marRight w:val="0"/>
          <w:marTop w:val="0"/>
          <w:marBottom w:val="0"/>
          <w:divBdr>
            <w:top w:val="none" w:sz="0" w:space="0" w:color="auto"/>
            <w:left w:val="none" w:sz="0" w:space="0" w:color="auto"/>
            <w:bottom w:val="none" w:sz="0" w:space="0" w:color="auto"/>
            <w:right w:val="none" w:sz="0" w:space="0" w:color="auto"/>
          </w:divBdr>
          <w:divsChild>
            <w:div w:id="306398893">
              <w:marLeft w:val="0"/>
              <w:marRight w:val="0"/>
              <w:marTop w:val="0"/>
              <w:marBottom w:val="0"/>
              <w:divBdr>
                <w:top w:val="none" w:sz="0" w:space="0" w:color="auto"/>
                <w:left w:val="none" w:sz="0" w:space="0" w:color="auto"/>
                <w:bottom w:val="none" w:sz="0" w:space="0" w:color="auto"/>
                <w:right w:val="none" w:sz="0" w:space="0" w:color="auto"/>
              </w:divBdr>
              <w:divsChild>
                <w:div w:id="4554162">
                  <w:marLeft w:val="0"/>
                  <w:marRight w:val="0"/>
                  <w:marTop w:val="0"/>
                  <w:marBottom w:val="0"/>
                  <w:divBdr>
                    <w:top w:val="none" w:sz="0" w:space="0" w:color="auto"/>
                    <w:left w:val="none" w:sz="0" w:space="0" w:color="auto"/>
                    <w:bottom w:val="none" w:sz="0" w:space="0" w:color="auto"/>
                    <w:right w:val="none" w:sz="0" w:space="0" w:color="auto"/>
                  </w:divBdr>
                  <w:divsChild>
                    <w:div w:id="130752080">
                      <w:marLeft w:val="0"/>
                      <w:marRight w:val="0"/>
                      <w:marTop w:val="0"/>
                      <w:marBottom w:val="0"/>
                      <w:divBdr>
                        <w:top w:val="none" w:sz="0" w:space="0" w:color="auto"/>
                        <w:left w:val="none" w:sz="0" w:space="0" w:color="auto"/>
                        <w:bottom w:val="none" w:sz="0" w:space="0" w:color="auto"/>
                        <w:right w:val="none" w:sz="0" w:space="0" w:color="auto"/>
                      </w:divBdr>
                    </w:div>
                  </w:divsChild>
                </w:div>
                <w:div w:id="127016992">
                  <w:marLeft w:val="0"/>
                  <w:marRight w:val="0"/>
                  <w:marTop w:val="0"/>
                  <w:marBottom w:val="0"/>
                  <w:divBdr>
                    <w:top w:val="none" w:sz="0" w:space="0" w:color="auto"/>
                    <w:left w:val="none" w:sz="0" w:space="0" w:color="auto"/>
                    <w:bottom w:val="none" w:sz="0" w:space="0" w:color="auto"/>
                    <w:right w:val="none" w:sz="0" w:space="0" w:color="auto"/>
                  </w:divBdr>
                  <w:divsChild>
                    <w:div w:id="2133136008">
                      <w:marLeft w:val="0"/>
                      <w:marRight w:val="0"/>
                      <w:marTop w:val="0"/>
                      <w:marBottom w:val="0"/>
                      <w:divBdr>
                        <w:top w:val="none" w:sz="0" w:space="0" w:color="auto"/>
                        <w:left w:val="none" w:sz="0" w:space="0" w:color="auto"/>
                        <w:bottom w:val="none" w:sz="0" w:space="0" w:color="auto"/>
                        <w:right w:val="none" w:sz="0" w:space="0" w:color="auto"/>
                      </w:divBdr>
                    </w:div>
                  </w:divsChild>
                </w:div>
                <w:div w:id="154154845">
                  <w:marLeft w:val="0"/>
                  <w:marRight w:val="0"/>
                  <w:marTop w:val="0"/>
                  <w:marBottom w:val="0"/>
                  <w:divBdr>
                    <w:top w:val="none" w:sz="0" w:space="0" w:color="auto"/>
                    <w:left w:val="none" w:sz="0" w:space="0" w:color="auto"/>
                    <w:bottom w:val="none" w:sz="0" w:space="0" w:color="auto"/>
                    <w:right w:val="none" w:sz="0" w:space="0" w:color="auto"/>
                  </w:divBdr>
                  <w:divsChild>
                    <w:div w:id="133842192">
                      <w:marLeft w:val="0"/>
                      <w:marRight w:val="0"/>
                      <w:marTop w:val="0"/>
                      <w:marBottom w:val="0"/>
                      <w:divBdr>
                        <w:top w:val="none" w:sz="0" w:space="0" w:color="auto"/>
                        <w:left w:val="none" w:sz="0" w:space="0" w:color="auto"/>
                        <w:bottom w:val="none" w:sz="0" w:space="0" w:color="auto"/>
                        <w:right w:val="none" w:sz="0" w:space="0" w:color="auto"/>
                      </w:divBdr>
                    </w:div>
                  </w:divsChild>
                </w:div>
                <w:div w:id="183836017">
                  <w:marLeft w:val="0"/>
                  <w:marRight w:val="0"/>
                  <w:marTop w:val="0"/>
                  <w:marBottom w:val="0"/>
                  <w:divBdr>
                    <w:top w:val="none" w:sz="0" w:space="0" w:color="auto"/>
                    <w:left w:val="none" w:sz="0" w:space="0" w:color="auto"/>
                    <w:bottom w:val="none" w:sz="0" w:space="0" w:color="auto"/>
                    <w:right w:val="none" w:sz="0" w:space="0" w:color="auto"/>
                  </w:divBdr>
                </w:div>
                <w:div w:id="578448350">
                  <w:marLeft w:val="0"/>
                  <w:marRight w:val="0"/>
                  <w:marTop w:val="0"/>
                  <w:marBottom w:val="0"/>
                  <w:divBdr>
                    <w:top w:val="none" w:sz="0" w:space="0" w:color="auto"/>
                    <w:left w:val="none" w:sz="0" w:space="0" w:color="auto"/>
                    <w:bottom w:val="none" w:sz="0" w:space="0" w:color="auto"/>
                    <w:right w:val="none" w:sz="0" w:space="0" w:color="auto"/>
                  </w:divBdr>
                  <w:divsChild>
                    <w:div w:id="1002663247">
                      <w:marLeft w:val="0"/>
                      <w:marRight w:val="0"/>
                      <w:marTop w:val="0"/>
                      <w:marBottom w:val="0"/>
                      <w:divBdr>
                        <w:top w:val="none" w:sz="0" w:space="0" w:color="auto"/>
                        <w:left w:val="none" w:sz="0" w:space="0" w:color="auto"/>
                        <w:bottom w:val="none" w:sz="0" w:space="0" w:color="auto"/>
                        <w:right w:val="none" w:sz="0" w:space="0" w:color="auto"/>
                      </w:divBdr>
                    </w:div>
                  </w:divsChild>
                </w:div>
                <w:div w:id="796608370">
                  <w:marLeft w:val="0"/>
                  <w:marRight w:val="0"/>
                  <w:marTop w:val="0"/>
                  <w:marBottom w:val="0"/>
                  <w:divBdr>
                    <w:top w:val="none" w:sz="0" w:space="0" w:color="auto"/>
                    <w:left w:val="none" w:sz="0" w:space="0" w:color="auto"/>
                    <w:bottom w:val="none" w:sz="0" w:space="0" w:color="auto"/>
                    <w:right w:val="none" w:sz="0" w:space="0" w:color="auto"/>
                  </w:divBdr>
                </w:div>
                <w:div w:id="809982699">
                  <w:marLeft w:val="0"/>
                  <w:marRight w:val="0"/>
                  <w:marTop w:val="0"/>
                  <w:marBottom w:val="0"/>
                  <w:divBdr>
                    <w:top w:val="none" w:sz="0" w:space="0" w:color="auto"/>
                    <w:left w:val="none" w:sz="0" w:space="0" w:color="auto"/>
                    <w:bottom w:val="none" w:sz="0" w:space="0" w:color="auto"/>
                    <w:right w:val="none" w:sz="0" w:space="0" w:color="auto"/>
                  </w:divBdr>
                </w:div>
                <w:div w:id="859390082">
                  <w:marLeft w:val="0"/>
                  <w:marRight w:val="0"/>
                  <w:marTop w:val="0"/>
                  <w:marBottom w:val="0"/>
                  <w:divBdr>
                    <w:top w:val="none" w:sz="0" w:space="0" w:color="auto"/>
                    <w:left w:val="none" w:sz="0" w:space="0" w:color="auto"/>
                    <w:bottom w:val="none" w:sz="0" w:space="0" w:color="auto"/>
                    <w:right w:val="none" w:sz="0" w:space="0" w:color="auto"/>
                  </w:divBdr>
                  <w:divsChild>
                    <w:div w:id="378015599">
                      <w:marLeft w:val="0"/>
                      <w:marRight w:val="0"/>
                      <w:marTop w:val="0"/>
                      <w:marBottom w:val="0"/>
                      <w:divBdr>
                        <w:top w:val="none" w:sz="0" w:space="0" w:color="auto"/>
                        <w:left w:val="none" w:sz="0" w:space="0" w:color="auto"/>
                        <w:bottom w:val="none" w:sz="0" w:space="0" w:color="auto"/>
                        <w:right w:val="none" w:sz="0" w:space="0" w:color="auto"/>
                      </w:divBdr>
                    </w:div>
                  </w:divsChild>
                </w:div>
                <w:div w:id="1030571090">
                  <w:marLeft w:val="0"/>
                  <w:marRight w:val="0"/>
                  <w:marTop w:val="0"/>
                  <w:marBottom w:val="0"/>
                  <w:divBdr>
                    <w:top w:val="none" w:sz="0" w:space="0" w:color="auto"/>
                    <w:left w:val="none" w:sz="0" w:space="0" w:color="auto"/>
                    <w:bottom w:val="none" w:sz="0" w:space="0" w:color="auto"/>
                    <w:right w:val="none" w:sz="0" w:space="0" w:color="auto"/>
                  </w:divBdr>
                  <w:divsChild>
                    <w:div w:id="835002465">
                      <w:marLeft w:val="0"/>
                      <w:marRight w:val="0"/>
                      <w:marTop w:val="0"/>
                      <w:marBottom w:val="0"/>
                      <w:divBdr>
                        <w:top w:val="none" w:sz="0" w:space="0" w:color="auto"/>
                        <w:left w:val="none" w:sz="0" w:space="0" w:color="auto"/>
                        <w:bottom w:val="none" w:sz="0" w:space="0" w:color="auto"/>
                        <w:right w:val="none" w:sz="0" w:space="0" w:color="auto"/>
                      </w:divBdr>
                    </w:div>
                  </w:divsChild>
                </w:div>
                <w:div w:id="1046223767">
                  <w:marLeft w:val="0"/>
                  <w:marRight w:val="0"/>
                  <w:marTop w:val="0"/>
                  <w:marBottom w:val="0"/>
                  <w:divBdr>
                    <w:top w:val="none" w:sz="0" w:space="0" w:color="auto"/>
                    <w:left w:val="none" w:sz="0" w:space="0" w:color="auto"/>
                    <w:bottom w:val="none" w:sz="0" w:space="0" w:color="auto"/>
                    <w:right w:val="none" w:sz="0" w:space="0" w:color="auto"/>
                  </w:divBdr>
                </w:div>
                <w:div w:id="1086415138">
                  <w:marLeft w:val="0"/>
                  <w:marRight w:val="0"/>
                  <w:marTop w:val="0"/>
                  <w:marBottom w:val="0"/>
                  <w:divBdr>
                    <w:top w:val="none" w:sz="0" w:space="0" w:color="auto"/>
                    <w:left w:val="none" w:sz="0" w:space="0" w:color="auto"/>
                    <w:bottom w:val="none" w:sz="0" w:space="0" w:color="auto"/>
                    <w:right w:val="none" w:sz="0" w:space="0" w:color="auto"/>
                  </w:divBdr>
                </w:div>
                <w:div w:id="1146240479">
                  <w:marLeft w:val="0"/>
                  <w:marRight w:val="0"/>
                  <w:marTop w:val="0"/>
                  <w:marBottom w:val="0"/>
                  <w:divBdr>
                    <w:top w:val="none" w:sz="0" w:space="0" w:color="auto"/>
                    <w:left w:val="none" w:sz="0" w:space="0" w:color="auto"/>
                    <w:bottom w:val="none" w:sz="0" w:space="0" w:color="auto"/>
                    <w:right w:val="none" w:sz="0" w:space="0" w:color="auto"/>
                  </w:divBdr>
                </w:div>
                <w:div w:id="1297564633">
                  <w:marLeft w:val="0"/>
                  <w:marRight w:val="0"/>
                  <w:marTop w:val="0"/>
                  <w:marBottom w:val="0"/>
                  <w:divBdr>
                    <w:top w:val="none" w:sz="0" w:space="0" w:color="auto"/>
                    <w:left w:val="none" w:sz="0" w:space="0" w:color="auto"/>
                    <w:bottom w:val="none" w:sz="0" w:space="0" w:color="auto"/>
                    <w:right w:val="none" w:sz="0" w:space="0" w:color="auto"/>
                  </w:divBdr>
                  <w:divsChild>
                    <w:div w:id="90929663">
                      <w:marLeft w:val="0"/>
                      <w:marRight w:val="0"/>
                      <w:marTop w:val="0"/>
                      <w:marBottom w:val="0"/>
                      <w:divBdr>
                        <w:top w:val="none" w:sz="0" w:space="0" w:color="auto"/>
                        <w:left w:val="none" w:sz="0" w:space="0" w:color="auto"/>
                        <w:bottom w:val="none" w:sz="0" w:space="0" w:color="auto"/>
                        <w:right w:val="none" w:sz="0" w:space="0" w:color="auto"/>
                      </w:divBdr>
                    </w:div>
                  </w:divsChild>
                </w:div>
                <w:div w:id="1416396554">
                  <w:marLeft w:val="0"/>
                  <w:marRight w:val="0"/>
                  <w:marTop w:val="0"/>
                  <w:marBottom w:val="0"/>
                  <w:divBdr>
                    <w:top w:val="none" w:sz="0" w:space="0" w:color="auto"/>
                    <w:left w:val="none" w:sz="0" w:space="0" w:color="auto"/>
                    <w:bottom w:val="none" w:sz="0" w:space="0" w:color="auto"/>
                    <w:right w:val="none" w:sz="0" w:space="0" w:color="auto"/>
                  </w:divBdr>
                  <w:divsChild>
                    <w:div w:id="1591424973">
                      <w:marLeft w:val="0"/>
                      <w:marRight w:val="0"/>
                      <w:marTop w:val="0"/>
                      <w:marBottom w:val="0"/>
                      <w:divBdr>
                        <w:top w:val="none" w:sz="0" w:space="0" w:color="auto"/>
                        <w:left w:val="none" w:sz="0" w:space="0" w:color="auto"/>
                        <w:bottom w:val="none" w:sz="0" w:space="0" w:color="auto"/>
                        <w:right w:val="none" w:sz="0" w:space="0" w:color="auto"/>
                      </w:divBdr>
                    </w:div>
                  </w:divsChild>
                </w:div>
                <w:div w:id="1641036567">
                  <w:marLeft w:val="0"/>
                  <w:marRight w:val="0"/>
                  <w:marTop w:val="0"/>
                  <w:marBottom w:val="0"/>
                  <w:divBdr>
                    <w:top w:val="none" w:sz="0" w:space="0" w:color="auto"/>
                    <w:left w:val="none" w:sz="0" w:space="0" w:color="auto"/>
                    <w:bottom w:val="none" w:sz="0" w:space="0" w:color="auto"/>
                    <w:right w:val="none" w:sz="0" w:space="0" w:color="auto"/>
                  </w:divBdr>
                </w:div>
                <w:div w:id="1650859953">
                  <w:marLeft w:val="0"/>
                  <w:marRight w:val="0"/>
                  <w:marTop w:val="0"/>
                  <w:marBottom w:val="0"/>
                  <w:divBdr>
                    <w:top w:val="none" w:sz="0" w:space="0" w:color="auto"/>
                    <w:left w:val="none" w:sz="0" w:space="0" w:color="auto"/>
                    <w:bottom w:val="none" w:sz="0" w:space="0" w:color="auto"/>
                    <w:right w:val="none" w:sz="0" w:space="0" w:color="auto"/>
                  </w:divBdr>
                  <w:divsChild>
                    <w:div w:id="1819690031">
                      <w:marLeft w:val="0"/>
                      <w:marRight w:val="0"/>
                      <w:marTop w:val="0"/>
                      <w:marBottom w:val="0"/>
                      <w:divBdr>
                        <w:top w:val="none" w:sz="0" w:space="0" w:color="auto"/>
                        <w:left w:val="none" w:sz="0" w:space="0" w:color="auto"/>
                        <w:bottom w:val="none" w:sz="0" w:space="0" w:color="auto"/>
                        <w:right w:val="none" w:sz="0" w:space="0" w:color="auto"/>
                      </w:divBdr>
                    </w:div>
                  </w:divsChild>
                </w:div>
                <w:div w:id="1663970965">
                  <w:marLeft w:val="0"/>
                  <w:marRight w:val="0"/>
                  <w:marTop w:val="0"/>
                  <w:marBottom w:val="0"/>
                  <w:divBdr>
                    <w:top w:val="none" w:sz="0" w:space="0" w:color="auto"/>
                    <w:left w:val="none" w:sz="0" w:space="0" w:color="auto"/>
                    <w:bottom w:val="none" w:sz="0" w:space="0" w:color="auto"/>
                    <w:right w:val="none" w:sz="0" w:space="0" w:color="auto"/>
                  </w:divBdr>
                </w:div>
                <w:div w:id="1754006346">
                  <w:marLeft w:val="0"/>
                  <w:marRight w:val="0"/>
                  <w:marTop w:val="0"/>
                  <w:marBottom w:val="0"/>
                  <w:divBdr>
                    <w:top w:val="none" w:sz="0" w:space="0" w:color="auto"/>
                    <w:left w:val="none" w:sz="0" w:space="0" w:color="auto"/>
                    <w:bottom w:val="none" w:sz="0" w:space="0" w:color="auto"/>
                    <w:right w:val="none" w:sz="0" w:space="0" w:color="auto"/>
                  </w:divBdr>
                  <w:divsChild>
                    <w:div w:id="1086656249">
                      <w:marLeft w:val="0"/>
                      <w:marRight w:val="0"/>
                      <w:marTop w:val="0"/>
                      <w:marBottom w:val="0"/>
                      <w:divBdr>
                        <w:top w:val="none" w:sz="0" w:space="0" w:color="auto"/>
                        <w:left w:val="none" w:sz="0" w:space="0" w:color="auto"/>
                        <w:bottom w:val="none" w:sz="0" w:space="0" w:color="auto"/>
                        <w:right w:val="none" w:sz="0" w:space="0" w:color="auto"/>
                      </w:divBdr>
                    </w:div>
                  </w:divsChild>
                </w:div>
                <w:div w:id="1767725890">
                  <w:marLeft w:val="0"/>
                  <w:marRight w:val="0"/>
                  <w:marTop w:val="0"/>
                  <w:marBottom w:val="0"/>
                  <w:divBdr>
                    <w:top w:val="none" w:sz="0" w:space="0" w:color="auto"/>
                    <w:left w:val="none" w:sz="0" w:space="0" w:color="auto"/>
                    <w:bottom w:val="none" w:sz="0" w:space="0" w:color="auto"/>
                    <w:right w:val="none" w:sz="0" w:space="0" w:color="auto"/>
                  </w:divBdr>
                </w:div>
                <w:div w:id="2084595691">
                  <w:marLeft w:val="0"/>
                  <w:marRight w:val="0"/>
                  <w:marTop w:val="0"/>
                  <w:marBottom w:val="0"/>
                  <w:divBdr>
                    <w:top w:val="none" w:sz="0" w:space="0" w:color="auto"/>
                    <w:left w:val="none" w:sz="0" w:space="0" w:color="auto"/>
                    <w:bottom w:val="none" w:sz="0" w:space="0" w:color="auto"/>
                    <w:right w:val="none" w:sz="0" w:space="0" w:color="auto"/>
                  </w:divBdr>
                </w:div>
                <w:div w:id="2098482959">
                  <w:marLeft w:val="0"/>
                  <w:marRight w:val="0"/>
                  <w:marTop w:val="0"/>
                  <w:marBottom w:val="0"/>
                  <w:divBdr>
                    <w:top w:val="none" w:sz="0" w:space="0" w:color="auto"/>
                    <w:left w:val="none" w:sz="0" w:space="0" w:color="auto"/>
                    <w:bottom w:val="none" w:sz="0" w:space="0" w:color="auto"/>
                    <w:right w:val="none" w:sz="0" w:space="0" w:color="auto"/>
                  </w:divBdr>
                  <w:divsChild>
                    <w:div w:id="467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05381">
      <w:bodyDiv w:val="1"/>
      <w:marLeft w:val="0"/>
      <w:marRight w:val="0"/>
      <w:marTop w:val="0"/>
      <w:marBottom w:val="0"/>
      <w:divBdr>
        <w:top w:val="none" w:sz="0" w:space="0" w:color="auto"/>
        <w:left w:val="none" w:sz="0" w:space="0" w:color="auto"/>
        <w:bottom w:val="none" w:sz="0" w:space="0" w:color="auto"/>
        <w:right w:val="none" w:sz="0" w:space="0" w:color="auto"/>
      </w:divBdr>
      <w:divsChild>
        <w:div w:id="104182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617953">
              <w:marLeft w:val="0"/>
              <w:marRight w:val="0"/>
              <w:marTop w:val="0"/>
              <w:marBottom w:val="0"/>
              <w:divBdr>
                <w:top w:val="none" w:sz="0" w:space="0" w:color="auto"/>
                <w:left w:val="none" w:sz="0" w:space="0" w:color="auto"/>
                <w:bottom w:val="none" w:sz="0" w:space="0" w:color="auto"/>
                <w:right w:val="none" w:sz="0" w:space="0" w:color="auto"/>
              </w:divBdr>
              <w:divsChild>
                <w:div w:id="503056565">
                  <w:marLeft w:val="0"/>
                  <w:marRight w:val="0"/>
                  <w:marTop w:val="0"/>
                  <w:marBottom w:val="0"/>
                  <w:divBdr>
                    <w:top w:val="none" w:sz="0" w:space="0" w:color="auto"/>
                    <w:left w:val="none" w:sz="0" w:space="0" w:color="auto"/>
                    <w:bottom w:val="none" w:sz="0" w:space="0" w:color="auto"/>
                    <w:right w:val="none" w:sz="0" w:space="0" w:color="auto"/>
                  </w:divBdr>
                  <w:divsChild>
                    <w:div w:id="367994990">
                      <w:marLeft w:val="0"/>
                      <w:marRight w:val="0"/>
                      <w:marTop w:val="0"/>
                      <w:marBottom w:val="0"/>
                      <w:divBdr>
                        <w:top w:val="none" w:sz="0" w:space="0" w:color="auto"/>
                        <w:left w:val="none" w:sz="0" w:space="0" w:color="auto"/>
                        <w:bottom w:val="none" w:sz="0" w:space="0" w:color="auto"/>
                        <w:right w:val="none" w:sz="0" w:space="0" w:color="auto"/>
                      </w:divBdr>
                      <w:divsChild>
                        <w:div w:id="354696964">
                          <w:marLeft w:val="0"/>
                          <w:marRight w:val="0"/>
                          <w:marTop w:val="0"/>
                          <w:marBottom w:val="0"/>
                          <w:divBdr>
                            <w:top w:val="none" w:sz="0" w:space="0" w:color="auto"/>
                            <w:left w:val="none" w:sz="0" w:space="0" w:color="auto"/>
                            <w:bottom w:val="none" w:sz="0" w:space="0" w:color="auto"/>
                            <w:right w:val="none" w:sz="0" w:space="0" w:color="auto"/>
                          </w:divBdr>
                        </w:div>
                      </w:divsChild>
                    </w:div>
                    <w:div w:id="1964382944">
                      <w:marLeft w:val="0"/>
                      <w:marRight w:val="0"/>
                      <w:marTop w:val="0"/>
                      <w:marBottom w:val="0"/>
                      <w:divBdr>
                        <w:top w:val="none" w:sz="0" w:space="0" w:color="auto"/>
                        <w:left w:val="none" w:sz="0" w:space="0" w:color="auto"/>
                        <w:bottom w:val="none" w:sz="0" w:space="0" w:color="auto"/>
                        <w:right w:val="none" w:sz="0" w:space="0" w:color="auto"/>
                      </w:divBdr>
                      <w:divsChild>
                        <w:div w:id="1074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9181">
                  <w:marLeft w:val="0"/>
                  <w:marRight w:val="0"/>
                  <w:marTop w:val="0"/>
                  <w:marBottom w:val="0"/>
                  <w:divBdr>
                    <w:top w:val="none" w:sz="0" w:space="0" w:color="auto"/>
                    <w:left w:val="none" w:sz="0" w:space="0" w:color="auto"/>
                    <w:bottom w:val="none" w:sz="0" w:space="0" w:color="auto"/>
                    <w:right w:val="none" w:sz="0" w:space="0" w:color="auto"/>
                  </w:divBdr>
                  <w:divsChild>
                    <w:div w:id="1733041412">
                      <w:marLeft w:val="0"/>
                      <w:marRight w:val="0"/>
                      <w:marTop w:val="0"/>
                      <w:marBottom w:val="0"/>
                      <w:divBdr>
                        <w:top w:val="none" w:sz="0" w:space="0" w:color="auto"/>
                        <w:left w:val="none" w:sz="0" w:space="0" w:color="auto"/>
                        <w:bottom w:val="none" w:sz="0" w:space="0" w:color="auto"/>
                        <w:right w:val="none" w:sz="0" w:space="0" w:color="auto"/>
                      </w:divBdr>
                    </w:div>
                  </w:divsChild>
                </w:div>
                <w:div w:id="1008873005">
                  <w:marLeft w:val="0"/>
                  <w:marRight w:val="0"/>
                  <w:marTop w:val="0"/>
                  <w:marBottom w:val="0"/>
                  <w:divBdr>
                    <w:top w:val="none" w:sz="0" w:space="0" w:color="auto"/>
                    <w:left w:val="none" w:sz="0" w:space="0" w:color="auto"/>
                    <w:bottom w:val="none" w:sz="0" w:space="0" w:color="auto"/>
                    <w:right w:val="none" w:sz="0" w:space="0" w:color="auto"/>
                  </w:divBdr>
                  <w:divsChild>
                    <w:div w:id="916014160">
                      <w:marLeft w:val="0"/>
                      <w:marRight w:val="0"/>
                      <w:marTop w:val="0"/>
                      <w:marBottom w:val="0"/>
                      <w:divBdr>
                        <w:top w:val="none" w:sz="0" w:space="0" w:color="auto"/>
                        <w:left w:val="none" w:sz="0" w:space="0" w:color="auto"/>
                        <w:bottom w:val="none" w:sz="0" w:space="0" w:color="auto"/>
                        <w:right w:val="none" w:sz="0" w:space="0" w:color="auto"/>
                      </w:divBdr>
                    </w:div>
                  </w:divsChild>
                </w:div>
                <w:div w:id="1072387021">
                  <w:marLeft w:val="0"/>
                  <w:marRight w:val="0"/>
                  <w:marTop w:val="0"/>
                  <w:marBottom w:val="0"/>
                  <w:divBdr>
                    <w:top w:val="none" w:sz="0" w:space="0" w:color="auto"/>
                    <w:left w:val="none" w:sz="0" w:space="0" w:color="auto"/>
                    <w:bottom w:val="none" w:sz="0" w:space="0" w:color="auto"/>
                    <w:right w:val="none" w:sz="0" w:space="0" w:color="auto"/>
                  </w:divBdr>
                  <w:divsChild>
                    <w:div w:id="374356954">
                      <w:marLeft w:val="0"/>
                      <w:marRight w:val="0"/>
                      <w:marTop w:val="0"/>
                      <w:marBottom w:val="0"/>
                      <w:divBdr>
                        <w:top w:val="none" w:sz="0" w:space="0" w:color="auto"/>
                        <w:left w:val="none" w:sz="0" w:space="0" w:color="auto"/>
                        <w:bottom w:val="none" w:sz="0" w:space="0" w:color="auto"/>
                        <w:right w:val="none" w:sz="0" w:space="0" w:color="auto"/>
                      </w:divBdr>
                    </w:div>
                  </w:divsChild>
                </w:div>
                <w:div w:id="1524857559">
                  <w:marLeft w:val="0"/>
                  <w:marRight w:val="0"/>
                  <w:marTop w:val="0"/>
                  <w:marBottom w:val="0"/>
                  <w:divBdr>
                    <w:top w:val="none" w:sz="0" w:space="0" w:color="auto"/>
                    <w:left w:val="none" w:sz="0" w:space="0" w:color="auto"/>
                    <w:bottom w:val="none" w:sz="0" w:space="0" w:color="auto"/>
                    <w:right w:val="none" w:sz="0" w:space="0" w:color="auto"/>
                  </w:divBdr>
                  <w:divsChild>
                    <w:div w:id="771705246">
                      <w:marLeft w:val="0"/>
                      <w:marRight w:val="0"/>
                      <w:marTop w:val="0"/>
                      <w:marBottom w:val="0"/>
                      <w:divBdr>
                        <w:top w:val="none" w:sz="0" w:space="0" w:color="auto"/>
                        <w:left w:val="none" w:sz="0" w:space="0" w:color="auto"/>
                        <w:bottom w:val="none" w:sz="0" w:space="0" w:color="auto"/>
                        <w:right w:val="none" w:sz="0" w:space="0" w:color="auto"/>
                      </w:divBdr>
                    </w:div>
                  </w:divsChild>
                </w:div>
                <w:div w:id="1713656180">
                  <w:marLeft w:val="0"/>
                  <w:marRight w:val="0"/>
                  <w:marTop w:val="0"/>
                  <w:marBottom w:val="0"/>
                  <w:divBdr>
                    <w:top w:val="none" w:sz="0" w:space="0" w:color="auto"/>
                    <w:left w:val="none" w:sz="0" w:space="0" w:color="auto"/>
                    <w:bottom w:val="none" w:sz="0" w:space="0" w:color="auto"/>
                    <w:right w:val="none" w:sz="0" w:space="0" w:color="auto"/>
                  </w:divBdr>
                  <w:divsChild>
                    <w:div w:id="2024554923">
                      <w:marLeft w:val="0"/>
                      <w:marRight w:val="0"/>
                      <w:marTop w:val="0"/>
                      <w:marBottom w:val="0"/>
                      <w:divBdr>
                        <w:top w:val="none" w:sz="0" w:space="0" w:color="auto"/>
                        <w:left w:val="none" w:sz="0" w:space="0" w:color="auto"/>
                        <w:bottom w:val="none" w:sz="0" w:space="0" w:color="auto"/>
                        <w:right w:val="none" w:sz="0" w:space="0" w:color="auto"/>
                      </w:divBdr>
                    </w:div>
                  </w:divsChild>
                </w:div>
                <w:div w:id="2107341744">
                  <w:marLeft w:val="0"/>
                  <w:marRight w:val="0"/>
                  <w:marTop w:val="0"/>
                  <w:marBottom w:val="0"/>
                  <w:divBdr>
                    <w:top w:val="none" w:sz="0" w:space="0" w:color="auto"/>
                    <w:left w:val="none" w:sz="0" w:space="0" w:color="auto"/>
                    <w:bottom w:val="none" w:sz="0" w:space="0" w:color="auto"/>
                    <w:right w:val="none" w:sz="0" w:space="0" w:color="auto"/>
                  </w:divBdr>
                  <w:divsChild>
                    <w:div w:id="3007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8365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51401688">
      <w:bodyDiv w:val="1"/>
      <w:marLeft w:val="0"/>
      <w:marRight w:val="0"/>
      <w:marTop w:val="0"/>
      <w:marBottom w:val="0"/>
      <w:divBdr>
        <w:top w:val="none" w:sz="0" w:space="0" w:color="auto"/>
        <w:left w:val="none" w:sz="0" w:space="0" w:color="auto"/>
        <w:bottom w:val="none" w:sz="0" w:space="0" w:color="auto"/>
        <w:right w:val="none" w:sz="0" w:space="0" w:color="auto"/>
      </w:divBdr>
      <w:divsChild>
        <w:div w:id="2042852951">
          <w:marLeft w:val="0"/>
          <w:marRight w:val="0"/>
          <w:marTop w:val="0"/>
          <w:marBottom w:val="0"/>
          <w:divBdr>
            <w:top w:val="none" w:sz="0" w:space="0" w:color="auto"/>
            <w:left w:val="none" w:sz="0" w:space="0" w:color="auto"/>
            <w:bottom w:val="none" w:sz="0" w:space="0" w:color="auto"/>
            <w:right w:val="none" w:sz="0" w:space="0" w:color="auto"/>
          </w:divBdr>
        </w:div>
        <w:div w:id="161630020">
          <w:marLeft w:val="0"/>
          <w:marRight w:val="0"/>
          <w:marTop w:val="0"/>
          <w:marBottom w:val="0"/>
          <w:divBdr>
            <w:top w:val="none" w:sz="0" w:space="0" w:color="auto"/>
            <w:left w:val="none" w:sz="0" w:space="0" w:color="auto"/>
            <w:bottom w:val="none" w:sz="0" w:space="0" w:color="auto"/>
            <w:right w:val="none" w:sz="0" w:space="0" w:color="auto"/>
          </w:divBdr>
        </w:div>
        <w:div w:id="722414706">
          <w:marLeft w:val="0"/>
          <w:marRight w:val="0"/>
          <w:marTop w:val="0"/>
          <w:marBottom w:val="0"/>
          <w:divBdr>
            <w:top w:val="none" w:sz="0" w:space="0" w:color="auto"/>
            <w:left w:val="none" w:sz="0" w:space="0" w:color="auto"/>
            <w:bottom w:val="none" w:sz="0" w:space="0" w:color="auto"/>
            <w:right w:val="none" w:sz="0" w:space="0" w:color="auto"/>
          </w:divBdr>
        </w:div>
        <w:div w:id="567155162">
          <w:marLeft w:val="0"/>
          <w:marRight w:val="0"/>
          <w:marTop w:val="0"/>
          <w:marBottom w:val="0"/>
          <w:divBdr>
            <w:top w:val="none" w:sz="0" w:space="0" w:color="auto"/>
            <w:left w:val="none" w:sz="0" w:space="0" w:color="auto"/>
            <w:bottom w:val="none" w:sz="0" w:space="0" w:color="auto"/>
            <w:right w:val="none" w:sz="0" w:space="0" w:color="auto"/>
          </w:divBdr>
        </w:div>
        <w:div w:id="1631202799">
          <w:marLeft w:val="0"/>
          <w:marRight w:val="0"/>
          <w:marTop w:val="0"/>
          <w:marBottom w:val="0"/>
          <w:divBdr>
            <w:top w:val="none" w:sz="0" w:space="0" w:color="auto"/>
            <w:left w:val="none" w:sz="0" w:space="0" w:color="auto"/>
            <w:bottom w:val="none" w:sz="0" w:space="0" w:color="auto"/>
            <w:right w:val="none" w:sz="0" w:space="0" w:color="auto"/>
          </w:divBdr>
        </w:div>
        <w:div w:id="1208764072">
          <w:marLeft w:val="0"/>
          <w:marRight w:val="0"/>
          <w:marTop w:val="0"/>
          <w:marBottom w:val="0"/>
          <w:divBdr>
            <w:top w:val="none" w:sz="0" w:space="0" w:color="auto"/>
            <w:left w:val="none" w:sz="0" w:space="0" w:color="auto"/>
            <w:bottom w:val="none" w:sz="0" w:space="0" w:color="auto"/>
            <w:right w:val="none" w:sz="0" w:space="0" w:color="auto"/>
          </w:divBdr>
        </w:div>
        <w:div w:id="903494618">
          <w:marLeft w:val="0"/>
          <w:marRight w:val="0"/>
          <w:marTop w:val="0"/>
          <w:marBottom w:val="0"/>
          <w:divBdr>
            <w:top w:val="none" w:sz="0" w:space="0" w:color="auto"/>
            <w:left w:val="none" w:sz="0" w:space="0" w:color="auto"/>
            <w:bottom w:val="none" w:sz="0" w:space="0" w:color="auto"/>
            <w:right w:val="none" w:sz="0" w:space="0" w:color="auto"/>
          </w:divBdr>
        </w:div>
        <w:div w:id="1025129945">
          <w:marLeft w:val="0"/>
          <w:marRight w:val="0"/>
          <w:marTop w:val="0"/>
          <w:marBottom w:val="0"/>
          <w:divBdr>
            <w:top w:val="none" w:sz="0" w:space="0" w:color="auto"/>
            <w:left w:val="none" w:sz="0" w:space="0" w:color="auto"/>
            <w:bottom w:val="none" w:sz="0" w:space="0" w:color="auto"/>
            <w:right w:val="none" w:sz="0" w:space="0" w:color="auto"/>
          </w:divBdr>
        </w:div>
        <w:div w:id="962539042">
          <w:marLeft w:val="0"/>
          <w:marRight w:val="0"/>
          <w:marTop w:val="0"/>
          <w:marBottom w:val="0"/>
          <w:divBdr>
            <w:top w:val="none" w:sz="0" w:space="0" w:color="auto"/>
            <w:left w:val="none" w:sz="0" w:space="0" w:color="auto"/>
            <w:bottom w:val="none" w:sz="0" w:space="0" w:color="auto"/>
            <w:right w:val="none" w:sz="0" w:space="0" w:color="auto"/>
          </w:divBdr>
        </w:div>
        <w:div w:id="1546284866">
          <w:marLeft w:val="0"/>
          <w:marRight w:val="0"/>
          <w:marTop w:val="0"/>
          <w:marBottom w:val="0"/>
          <w:divBdr>
            <w:top w:val="none" w:sz="0" w:space="0" w:color="auto"/>
            <w:left w:val="none" w:sz="0" w:space="0" w:color="auto"/>
            <w:bottom w:val="none" w:sz="0" w:space="0" w:color="auto"/>
            <w:right w:val="none" w:sz="0" w:space="0" w:color="auto"/>
          </w:divBdr>
        </w:div>
        <w:div w:id="1429891883">
          <w:marLeft w:val="0"/>
          <w:marRight w:val="0"/>
          <w:marTop w:val="0"/>
          <w:marBottom w:val="0"/>
          <w:divBdr>
            <w:top w:val="none" w:sz="0" w:space="0" w:color="auto"/>
            <w:left w:val="none" w:sz="0" w:space="0" w:color="auto"/>
            <w:bottom w:val="none" w:sz="0" w:space="0" w:color="auto"/>
            <w:right w:val="none" w:sz="0" w:space="0" w:color="auto"/>
          </w:divBdr>
        </w:div>
        <w:div w:id="2035957285">
          <w:marLeft w:val="0"/>
          <w:marRight w:val="0"/>
          <w:marTop w:val="0"/>
          <w:marBottom w:val="0"/>
          <w:divBdr>
            <w:top w:val="none" w:sz="0" w:space="0" w:color="auto"/>
            <w:left w:val="none" w:sz="0" w:space="0" w:color="auto"/>
            <w:bottom w:val="none" w:sz="0" w:space="0" w:color="auto"/>
            <w:right w:val="none" w:sz="0" w:space="0" w:color="auto"/>
          </w:divBdr>
        </w:div>
        <w:div w:id="476384330">
          <w:marLeft w:val="0"/>
          <w:marRight w:val="0"/>
          <w:marTop w:val="0"/>
          <w:marBottom w:val="0"/>
          <w:divBdr>
            <w:top w:val="none" w:sz="0" w:space="0" w:color="auto"/>
            <w:left w:val="none" w:sz="0" w:space="0" w:color="auto"/>
            <w:bottom w:val="none" w:sz="0" w:space="0" w:color="auto"/>
            <w:right w:val="none" w:sz="0" w:space="0" w:color="auto"/>
          </w:divBdr>
        </w:div>
        <w:div w:id="159931798">
          <w:marLeft w:val="0"/>
          <w:marRight w:val="0"/>
          <w:marTop w:val="0"/>
          <w:marBottom w:val="0"/>
          <w:divBdr>
            <w:top w:val="none" w:sz="0" w:space="0" w:color="auto"/>
            <w:left w:val="none" w:sz="0" w:space="0" w:color="auto"/>
            <w:bottom w:val="none" w:sz="0" w:space="0" w:color="auto"/>
            <w:right w:val="none" w:sz="0" w:space="0" w:color="auto"/>
          </w:divBdr>
        </w:div>
        <w:div w:id="1775324903">
          <w:marLeft w:val="0"/>
          <w:marRight w:val="0"/>
          <w:marTop w:val="0"/>
          <w:marBottom w:val="0"/>
          <w:divBdr>
            <w:top w:val="none" w:sz="0" w:space="0" w:color="auto"/>
            <w:left w:val="none" w:sz="0" w:space="0" w:color="auto"/>
            <w:bottom w:val="none" w:sz="0" w:space="0" w:color="auto"/>
            <w:right w:val="none" w:sz="0" w:space="0" w:color="auto"/>
          </w:divBdr>
        </w:div>
        <w:div w:id="347148481">
          <w:marLeft w:val="0"/>
          <w:marRight w:val="0"/>
          <w:marTop w:val="0"/>
          <w:marBottom w:val="0"/>
          <w:divBdr>
            <w:top w:val="none" w:sz="0" w:space="0" w:color="auto"/>
            <w:left w:val="none" w:sz="0" w:space="0" w:color="auto"/>
            <w:bottom w:val="none" w:sz="0" w:space="0" w:color="auto"/>
            <w:right w:val="none" w:sz="0" w:space="0" w:color="auto"/>
          </w:divBdr>
        </w:div>
        <w:div w:id="1029260587">
          <w:marLeft w:val="0"/>
          <w:marRight w:val="0"/>
          <w:marTop w:val="0"/>
          <w:marBottom w:val="0"/>
          <w:divBdr>
            <w:top w:val="none" w:sz="0" w:space="0" w:color="auto"/>
            <w:left w:val="none" w:sz="0" w:space="0" w:color="auto"/>
            <w:bottom w:val="none" w:sz="0" w:space="0" w:color="auto"/>
            <w:right w:val="none" w:sz="0" w:space="0" w:color="auto"/>
          </w:divBdr>
        </w:div>
        <w:div w:id="363290708">
          <w:marLeft w:val="0"/>
          <w:marRight w:val="0"/>
          <w:marTop w:val="0"/>
          <w:marBottom w:val="0"/>
          <w:divBdr>
            <w:top w:val="none" w:sz="0" w:space="0" w:color="auto"/>
            <w:left w:val="none" w:sz="0" w:space="0" w:color="auto"/>
            <w:bottom w:val="none" w:sz="0" w:space="0" w:color="auto"/>
            <w:right w:val="none" w:sz="0" w:space="0" w:color="auto"/>
          </w:divBdr>
        </w:div>
        <w:div w:id="615872592">
          <w:marLeft w:val="0"/>
          <w:marRight w:val="0"/>
          <w:marTop w:val="0"/>
          <w:marBottom w:val="0"/>
          <w:divBdr>
            <w:top w:val="none" w:sz="0" w:space="0" w:color="auto"/>
            <w:left w:val="none" w:sz="0" w:space="0" w:color="auto"/>
            <w:bottom w:val="none" w:sz="0" w:space="0" w:color="auto"/>
            <w:right w:val="none" w:sz="0" w:space="0" w:color="auto"/>
          </w:divBdr>
        </w:div>
        <w:div w:id="1365979166">
          <w:marLeft w:val="0"/>
          <w:marRight w:val="0"/>
          <w:marTop w:val="0"/>
          <w:marBottom w:val="0"/>
          <w:divBdr>
            <w:top w:val="none" w:sz="0" w:space="0" w:color="auto"/>
            <w:left w:val="none" w:sz="0" w:space="0" w:color="auto"/>
            <w:bottom w:val="none" w:sz="0" w:space="0" w:color="auto"/>
            <w:right w:val="none" w:sz="0" w:space="0" w:color="auto"/>
          </w:divBdr>
        </w:div>
        <w:div w:id="2072146903">
          <w:marLeft w:val="0"/>
          <w:marRight w:val="0"/>
          <w:marTop w:val="0"/>
          <w:marBottom w:val="0"/>
          <w:divBdr>
            <w:top w:val="none" w:sz="0" w:space="0" w:color="auto"/>
            <w:left w:val="none" w:sz="0" w:space="0" w:color="auto"/>
            <w:bottom w:val="none" w:sz="0" w:space="0" w:color="auto"/>
            <w:right w:val="none" w:sz="0" w:space="0" w:color="auto"/>
          </w:divBdr>
        </w:div>
        <w:div w:id="1016495204">
          <w:marLeft w:val="0"/>
          <w:marRight w:val="0"/>
          <w:marTop w:val="0"/>
          <w:marBottom w:val="0"/>
          <w:divBdr>
            <w:top w:val="none" w:sz="0" w:space="0" w:color="auto"/>
            <w:left w:val="none" w:sz="0" w:space="0" w:color="auto"/>
            <w:bottom w:val="none" w:sz="0" w:space="0" w:color="auto"/>
            <w:right w:val="none" w:sz="0" w:space="0" w:color="auto"/>
          </w:divBdr>
        </w:div>
        <w:div w:id="904098879">
          <w:marLeft w:val="0"/>
          <w:marRight w:val="0"/>
          <w:marTop w:val="0"/>
          <w:marBottom w:val="0"/>
          <w:divBdr>
            <w:top w:val="none" w:sz="0" w:space="0" w:color="auto"/>
            <w:left w:val="none" w:sz="0" w:space="0" w:color="auto"/>
            <w:bottom w:val="none" w:sz="0" w:space="0" w:color="auto"/>
            <w:right w:val="none" w:sz="0" w:space="0" w:color="auto"/>
          </w:divBdr>
        </w:div>
        <w:div w:id="858927619">
          <w:marLeft w:val="0"/>
          <w:marRight w:val="0"/>
          <w:marTop w:val="0"/>
          <w:marBottom w:val="0"/>
          <w:divBdr>
            <w:top w:val="none" w:sz="0" w:space="0" w:color="auto"/>
            <w:left w:val="none" w:sz="0" w:space="0" w:color="auto"/>
            <w:bottom w:val="none" w:sz="0" w:space="0" w:color="auto"/>
            <w:right w:val="none" w:sz="0" w:space="0" w:color="auto"/>
          </w:divBdr>
        </w:div>
        <w:div w:id="914626087">
          <w:marLeft w:val="0"/>
          <w:marRight w:val="0"/>
          <w:marTop w:val="0"/>
          <w:marBottom w:val="0"/>
          <w:divBdr>
            <w:top w:val="none" w:sz="0" w:space="0" w:color="auto"/>
            <w:left w:val="none" w:sz="0" w:space="0" w:color="auto"/>
            <w:bottom w:val="none" w:sz="0" w:space="0" w:color="auto"/>
            <w:right w:val="none" w:sz="0" w:space="0" w:color="auto"/>
          </w:divBdr>
        </w:div>
        <w:div w:id="1771007491">
          <w:marLeft w:val="0"/>
          <w:marRight w:val="0"/>
          <w:marTop w:val="0"/>
          <w:marBottom w:val="0"/>
          <w:divBdr>
            <w:top w:val="none" w:sz="0" w:space="0" w:color="auto"/>
            <w:left w:val="none" w:sz="0" w:space="0" w:color="auto"/>
            <w:bottom w:val="none" w:sz="0" w:space="0" w:color="auto"/>
            <w:right w:val="none" w:sz="0" w:space="0" w:color="auto"/>
          </w:divBdr>
        </w:div>
        <w:div w:id="252738796">
          <w:marLeft w:val="0"/>
          <w:marRight w:val="0"/>
          <w:marTop w:val="0"/>
          <w:marBottom w:val="0"/>
          <w:divBdr>
            <w:top w:val="none" w:sz="0" w:space="0" w:color="auto"/>
            <w:left w:val="none" w:sz="0" w:space="0" w:color="auto"/>
            <w:bottom w:val="none" w:sz="0" w:space="0" w:color="auto"/>
            <w:right w:val="none" w:sz="0" w:space="0" w:color="auto"/>
          </w:divBdr>
        </w:div>
        <w:div w:id="690302408">
          <w:marLeft w:val="0"/>
          <w:marRight w:val="0"/>
          <w:marTop w:val="0"/>
          <w:marBottom w:val="0"/>
          <w:divBdr>
            <w:top w:val="none" w:sz="0" w:space="0" w:color="auto"/>
            <w:left w:val="none" w:sz="0" w:space="0" w:color="auto"/>
            <w:bottom w:val="none" w:sz="0" w:space="0" w:color="auto"/>
            <w:right w:val="none" w:sz="0" w:space="0" w:color="auto"/>
          </w:divBdr>
        </w:div>
        <w:div w:id="1586498933">
          <w:marLeft w:val="0"/>
          <w:marRight w:val="0"/>
          <w:marTop w:val="0"/>
          <w:marBottom w:val="0"/>
          <w:divBdr>
            <w:top w:val="none" w:sz="0" w:space="0" w:color="auto"/>
            <w:left w:val="none" w:sz="0" w:space="0" w:color="auto"/>
            <w:bottom w:val="none" w:sz="0" w:space="0" w:color="auto"/>
            <w:right w:val="none" w:sz="0" w:space="0" w:color="auto"/>
          </w:divBdr>
        </w:div>
        <w:div w:id="1258827235">
          <w:marLeft w:val="0"/>
          <w:marRight w:val="0"/>
          <w:marTop w:val="0"/>
          <w:marBottom w:val="0"/>
          <w:divBdr>
            <w:top w:val="none" w:sz="0" w:space="0" w:color="auto"/>
            <w:left w:val="none" w:sz="0" w:space="0" w:color="auto"/>
            <w:bottom w:val="none" w:sz="0" w:space="0" w:color="auto"/>
            <w:right w:val="none" w:sz="0" w:space="0" w:color="auto"/>
          </w:divBdr>
        </w:div>
        <w:div w:id="81221423">
          <w:marLeft w:val="0"/>
          <w:marRight w:val="0"/>
          <w:marTop w:val="0"/>
          <w:marBottom w:val="0"/>
          <w:divBdr>
            <w:top w:val="none" w:sz="0" w:space="0" w:color="auto"/>
            <w:left w:val="none" w:sz="0" w:space="0" w:color="auto"/>
            <w:bottom w:val="none" w:sz="0" w:space="0" w:color="auto"/>
            <w:right w:val="none" w:sz="0" w:space="0" w:color="auto"/>
          </w:divBdr>
        </w:div>
        <w:div w:id="1415321597">
          <w:marLeft w:val="0"/>
          <w:marRight w:val="0"/>
          <w:marTop w:val="0"/>
          <w:marBottom w:val="0"/>
          <w:divBdr>
            <w:top w:val="none" w:sz="0" w:space="0" w:color="auto"/>
            <w:left w:val="none" w:sz="0" w:space="0" w:color="auto"/>
            <w:bottom w:val="none" w:sz="0" w:space="0" w:color="auto"/>
            <w:right w:val="none" w:sz="0" w:space="0" w:color="auto"/>
          </w:divBdr>
        </w:div>
        <w:div w:id="1319772134">
          <w:marLeft w:val="0"/>
          <w:marRight w:val="0"/>
          <w:marTop w:val="0"/>
          <w:marBottom w:val="0"/>
          <w:divBdr>
            <w:top w:val="none" w:sz="0" w:space="0" w:color="auto"/>
            <w:left w:val="none" w:sz="0" w:space="0" w:color="auto"/>
            <w:bottom w:val="none" w:sz="0" w:space="0" w:color="auto"/>
            <w:right w:val="none" w:sz="0" w:space="0" w:color="auto"/>
          </w:divBdr>
        </w:div>
        <w:div w:id="1150828917">
          <w:marLeft w:val="0"/>
          <w:marRight w:val="0"/>
          <w:marTop w:val="0"/>
          <w:marBottom w:val="0"/>
          <w:divBdr>
            <w:top w:val="none" w:sz="0" w:space="0" w:color="auto"/>
            <w:left w:val="none" w:sz="0" w:space="0" w:color="auto"/>
            <w:bottom w:val="none" w:sz="0" w:space="0" w:color="auto"/>
            <w:right w:val="none" w:sz="0" w:space="0" w:color="auto"/>
          </w:divBdr>
        </w:div>
        <w:div w:id="924996140">
          <w:marLeft w:val="0"/>
          <w:marRight w:val="0"/>
          <w:marTop w:val="0"/>
          <w:marBottom w:val="0"/>
          <w:divBdr>
            <w:top w:val="none" w:sz="0" w:space="0" w:color="auto"/>
            <w:left w:val="none" w:sz="0" w:space="0" w:color="auto"/>
            <w:bottom w:val="none" w:sz="0" w:space="0" w:color="auto"/>
            <w:right w:val="none" w:sz="0" w:space="0" w:color="auto"/>
          </w:divBdr>
        </w:div>
        <w:div w:id="97797459">
          <w:marLeft w:val="0"/>
          <w:marRight w:val="0"/>
          <w:marTop w:val="0"/>
          <w:marBottom w:val="0"/>
          <w:divBdr>
            <w:top w:val="none" w:sz="0" w:space="0" w:color="auto"/>
            <w:left w:val="none" w:sz="0" w:space="0" w:color="auto"/>
            <w:bottom w:val="none" w:sz="0" w:space="0" w:color="auto"/>
            <w:right w:val="none" w:sz="0" w:space="0" w:color="auto"/>
          </w:divBdr>
        </w:div>
        <w:div w:id="705449712">
          <w:marLeft w:val="0"/>
          <w:marRight w:val="0"/>
          <w:marTop w:val="0"/>
          <w:marBottom w:val="0"/>
          <w:divBdr>
            <w:top w:val="none" w:sz="0" w:space="0" w:color="auto"/>
            <w:left w:val="none" w:sz="0" w:space="0" w:color="auto"/>
            <w:bottom w:val="none" w:sz="0" w:space="0" w:color="auto"/>
            <w:right w:val="none" w:sz="0" w:space="0" w:color="auto"/>
          </w:divBdr>
        </w:div>
        <w:div w:id="1505589139">
          <w:marLeft w:val="0"/>
          <w:marRight w:val="0"/>
          <w:marTop w:val="0"/>
          <w:marBottom w:val="0"/>
          <w:divBdr>
            <w:top w:val="none" w:sz="0" w:space="0" w:color="auto"/>
            <w:left w:val="none" w:sz="0" w:space="0" w:color="auto"/>
            <w:bottom w:val="none" w:sz="0" w:space="0" w:color="auto"/>
            <w:right w:val="none" w:sz="0" w:space="0" w:color="auto"/>
          </w:divBdr>
        </w:div>
        <w:div w:id="1892228556">
          <w:marLeft w:val="0"/>
          <w:marRight w:val="0"/>
          <w:marTop w:val="0"/>
          <w:marBottom w:val="0"/>
          <w:divBdr>
            <w:top w:val="none" w:sz="0" w:space="0" w:color="auto"/>
            <w:left w:val="none" w:sz="0" w:space="0" w:color="auto"/>
            <w:bottom w:val="none" w:sz="0" w:space="0" w:color="auto"/>
            <w:right w:val="none" w:sz="0" w:space="0" w:color="auto"/>
          </w:divBdr>
        </w:div>
        <w:div w:id="561408510">
          <w:marLeft w:val="0"/>
          <w:marRight w:val="0"/>
          <w:marTop w:val="0"/>
          <w:marBottom w:val="0"/>
          <w:divBdr>
            <w:top w:val="none" w:sz="0" w:space="0" w:color="auto"/>
            <w:left w:val="none" w:sz="0" w:space="0" w:color="auto"/>
            <w:bottom w:val="none" w:sz="0" w:space="0" w:color="auto"/>
            <w:right w:val="none" w:sz="0" w:space="0" w:color="auto"/>
          </w:divBdr>
        </w:div>
        <w:div w:id="1723402577">
          <w:marLeft w:val="0"/>
          <w:marRight w:val="0"/>
          <w:marTop w:val="0"/>
          <w:marBottom w:val="0"/>
          <w:divBdr>
            <w:top w:val="none" w:sz="0" w:space="0" w:color="auto"/>
            <w:left w:val="none" w:sz="0" w:space="0" w:color="auto"/>
            <w:bottom w:val="none" w:sz="0" w:space="0" w:color="auto"/>
            <w:right w:val="none" w:sz="0" w:space="0" w:color="auto"/>
          </w:divBdr>
        </w:div>
        <w:div w:id="1722097344">
          <w:marLeft w:val="0"/>
          <w:marRight w:val="0"/>
          <w:marTop w:val="0"/>
          <w:marBottom w:val="0"/>
          <w:divBdr>
            <w:top w:val="none" w:sz="0" w:space="0" w:color="auto"/>
            <w:left w:val="none" w:sz="0" w:space="0" w:color="auto"/>
            <w:bottom w:val="none" w:sz="0" w:space="0" w:color="auto"/>
            <w:right w:val="none" w:sz="0" w:space="0" w:color="auto"/>
          </w:divBdr>
        </w:div>
        <w:div w:id="863324790">
          <w:marLeft w:val="0"/>
          <w:marRight w:val="0"/>
          <w:marTop w:val="0"/>
          <w:marBottom w:val="0"/>
          <w:divBdr>
            <w:top w:val="none" w:sz="0" w:space="0" w:color="auto"/>
            <w:left w:val="none" w:sz="0" w:space="0" w:color="auto"/>
            <w:bottom w:val="none" w:sz="0" w:space="0" w:color="auto"/>
            <w:right w:val="none" w:sz="0" w:space="0" w:color="auto"/>
          </w:divBdr>
        </w:div>
        <w:div w:id="772941943">
          <w:marLeft w:val="0"/>
          <w:marRight w:val="0"/>
          <w:marTop w:val="0"/>
          <w:marBottom w:val="0"/>
          <w:divBdr>
            <w:top w:val="none" w:sz="0" w:space="0" w:color="auto"/>
            <w:left w:val="none" w:sz="0" w:space="0" w:color="auto"/>
            <w:bottom w:val="none" w:sz="0" w:space="0" w:color="auto"/>
            <w:right w:val="none" w:sz="0" w:space="0" w:color="auto"/>
          </w:divBdr>
        </w:div>
      </w:divsChild>
    </w:div>
    <w:div w:id="1864590564">
      <w:bodyDiv w:val="1"/>
      <w:marLeft w:val="0"/>
      <w:marRight w:val="0"/>
      <w:marTop w:val="0"/>
      <w:marBottom w:val="0"/>
      <w:divBdr>
        <w:top w:val="none" w:sz="0" w:space="0" w:color="auto"/>
        <w:left w:val="none" w:sz="0" w:space="0" w:color="auto"/>
        <w:bottom w:val="none" w:sz="0" w:space="0" w:color="auto"/>
        <w:right w:val="none" w:sz="0" w:space="0" w:color="auto"/>
      </w:divBdr>
      <w:divsChild>
        <w:div w:id="131562362">
          <w:marLeft w:val="0"/>
          <w:marRight w:val="0"/>
          <w:marTop w:val="0"/>
          <w:marBottom w:val="0"/>
          <w:divBdr>
            <w:top w:val="none" w:sz="0" w:space="0" w:color="auto"/>
            <w:left w:val="none" w:sz="0" w:space="0" w:color="auto"/>
            <w:bottom w:val="none" w:sz="0" w:space="0" w:color="auto"/>
            <w:right w:val="none" w:sz="0" w:space="0" w:color="auto"/>
          </w:divBdr>
        </w:div>
        <w:div w:id="296223109">
          <w:marLeft w:val="0"/>
          <w:marRight w:val="0"/>
          <w:marTop w:val="0"/>
          <w:marBottom w:val="0"/>
          <w:divBdr>
            <w:top w:val="none" w:sz="0" w:space="0" w:color="auto"/>
            <w:left w:val="none" w:sz="0" w:space="0" w:color="auto"/>
            <w:bottom w:val="none" w:sz="0" w:space="0" w:color="auto"/>
            <w:right w:val="none" w:sz="0" w:space="0" w:color="auto"/>
          </w:divBdr>
        </w:div>
        <w:div w:id="1418792270">
          <w:marLeft w:val="0"/>
          <w:marRight w:val="0"/>
          <w:marTop w:val="0"/>
          <w:marBottom w:val="0"/>
          <w:divBdr>
            <w:top w:val="none" w:sz="0" w:space="0" w:color="auto"/>
            <w:left w:val="none" w:sz="0" w:space="0" w:color="auto"/>
            <w:bottom w:val="none" w:sz="0" w:space="0" w:color="auto"/>
            <w:right w:val="none" w:sz="0" w:space="0" w:color="auto"/>
          </w:divBdr>
        </w:div>
        <w:div w:id="2078162586">
          <w:marLeft w:val="0"/>
          <w:marRight w:val="0"/>
          <w:marTop w:val="0"/>
          <w:marBottom w:val="0"/>
          <w:divBdr>
            <w:top w:val="none" w:sz="0" w:space="0" w:color="auto"/>
            <w:left w:val="none" w:sz="0" w:space="0" w:color="auto"/>
            <w:bottom w:val="none" w:sz="0" w:space="0" w:color="auto"/>
            <w:right w:val="none" w:sz="0" w:space="0" w:color="auto"/>
          </w:divBdr>
        </w:div>
        <w:div w:id="633948528">
          <w:marLeft w:val="0"/>
          <w:marRight w:val="0"/>
          <w:marTop w:val="0"/>
          <w:marBottom w:val="0"/>
          <w:divBdr>
            <w:top w:val="none" w:sz="0" w:space="0" w:color="auto"/>
            <w:left w:val="none" w:sz="0" w:space="0" w:color="auto"/>
            <w:bottom w:val="none" w:sz="0" w:space="0" w:color="auto"/>
            <w:right w:val="none" w:sz="0" w:space="0" w:color="auto"/>
          </w:divBdr>
        </w:div>
        <w:div w:id="161069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dfat.gov.au/about-us/publications/Documents/community-based-climate-change-action-grants-independent-review-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20Brow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2017-11-22T00:00:00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D7A3F7296A244BB169E558107B7358" ma:contentTypeVersion="5" ma:contentTypeDescription="Create a new document." ma:contentTypeScope="" ma:versionID="ad2658c8ac0a74ce2e3476a50ded188d">
  <xsd:schema xmlns:xsd="http://www.w3.org/2001/XMLSchema" xmlns:xs="http://www.w3.org/2001/XMLSchema" xmlns:p="http://schemas.microsoft.com/office/2006/metadata/properties" xmlns:ns2="dc019f3e-73bc-49fe-9b9d-61fba1405040" targetNamespace="http://schemas.microsoft.com/office/2006/metadata/properties" ma:root="true" ma:fieldsID="0c3f51dfc1f16be556647dd434c3a6a8" ns2:_="">
    <xsd:import namespace="dc019f3e-73bc-49fe-9b9d-61fba14050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19f3e-73bc-49fe-9b9d-61fba1405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5AB78A-866D-420D-BE02-D540FE587744}">
  <ds:schemaRefs>
    <ds:schemaRef ds:uri="http://schemas.microsoft.com/sharepoint/v3/contenttype/forms"/>
  </ds:schemaRefs>
</ds:datastoreItem>
</file>

<file path=customXml/itemProps4.xml><?xml version="1.0" encoding="utf-8"?>
<ds:datastoreItem xmlns:ds="http://schemas.openxmlformats.org/officeDocument/2006/customXml" ds:itemID="{5A5CC53D-C915-46AE-BFE2-6AA8677D1C1A}"/>
</file>

<file path=customXml/itemProps5.xml><?xml version="1.0" encoding="utf-8"?>
<ds:datastoreItem xmlns:ds="http://schemas.openxmlformats.org/officeDocument/2006/customXml" ds:itemID="{ACB3B976-E917-49AE-841C-46F557F0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200</TotalTime>
  <Pages>63</Pages>
  <Words>21393</Words>
  <Characters>121941</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Disaster READY</vt:lpstr>
    </vt:vector>
  </TitlesOfParts>
  <Company>Toshiba</Company>
  <LinksUpToDate>false</LinksUpToDate>
  <CharactersWithSpaces>143048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READY</dc:title>
  <dc:subject>The Australian Humanitarian Partnership (AHP)</dc:subject>
  <dc:creator>The Australian Humanitarian Partnership is an Australian Government initiative working in partnership with          Australian NGOs.</dc:creator>
  <cp:lastModifiedBy>Jason Brown</cp:lastModifiedBy>
  <cp:revision>40</cp:revision>
  <cp:lastPrinted>2017-12-18T23:37:00Z</cp:lastPrinted>
  <dcterms:created xsi:type="dcterms:W3CDTF">2017-12-18T04:48:00Z</dcterms:created>
  <dcterms:modified xsi:type="dcterms:W3CDTF">2018-02-06T05:07:00Z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0x0101009DD7A3F7296A244BB169E558107B7358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