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35" w:rsidRDefault="007D5435" w:rsidP="007D5435">
      <w:pPr>
        <w:widowControl/>
        <w:ind w:left="1200" w:right="1200"/>
        <w:jc w:val="center"/>
        <w:rPr>
          <w:rFonts w:ascii="Times New Roman" w:hAnsi="Times New Roman" w:cs="Times New Roman"/>
          <w:b/>
          <w:bCs/>
        </w:rPr>
      </w:pPr>
      <w:proofErr w:type="gramStart"/>
      <w:r>
        <w:rPr>
          <w:rFonts w:ascii="Times New Roman" w:hAnsi="Times New Roman" w:cs="Times New Roman"/>
          <w:b/>
          <w:bCs/>
        </w:rPr>
        <w:t>UNITED STATES OF AMERICA, Plaintiff-</w:t>
      </w:r>
      <w:proofErr w:type="spellStart"/>
      <w:r>
        <w:rPr>
          <w:rFonts w:ascii="Times New Roman" w:hAnsi="Times New Roman" w:cs="Times New Roman"/>
          <w:b/>
          <w:bCs/>
        </w:rPr>
        <w:t>Appellee</w:t>
      </w:r>
      <w:proofErr w:type="spellEnd"/>
      <w:r>
        <w:rPr>
          <w:rFonts w:ascii="Times New Roman" w:hAnsi="Times New Roman" w:cs="Times New Roman"/>
          <w:b/>
          <w:bCs/>
        </w:rPr>
        <w:t xml:space="preserve">, v. EDWARD LYNN </w:t>
      </w:r>
      <w:proofErr w:type="spellStart"/>
      <w:r>
        <w:rPr>
          <w:rFonts w:ascii="Times New Roman" w:hAnsi="Times New Roman" w:cs="Times New Roman"/>
          <w:b/>
          <w:bCs/>
        </w:rPr>
        <w:t>MOSKOP</w:t>
      </w:r>
      <w:proofErr w:type="spellEnd"/>
      <w:r>
        <w:rPr>
          <w:rFonts w:ascii="Times New Roman" w:hAnsi="Times New Roman" w:cs="Times New Roman"/>
          <w:b/>
          <w:bCs/>
        </w:rPr>
        <w:t>, Defendant-Appellant.</w:t>
      </w:r>
      <w:proofErr w:type="gramEnd"/>
    </w:p>
    <w:p w:rsidR="007D5435" w:rsidRDefault="007D5435" w:rsidP="007D5435">
      <w:pPr>
        <w:widowControl/>
        <w:rPr>
          <w:rFonts w:ascii="Times New Roman" w:hAnsi="Times New Roman" w:cs="Times New Roman"/>
          <w:b/>
          <w:bCs/>
        </w:rPr>
      </w:pPr>
    </w:p>
    <w:p w:rsidR="007D5435" w:rsidRDefault="007D5435" w:rsidP="007D5435">
      <w:pPr>
        <w:widowControl/>
        <w:ind w:left="1200" w:right="1200"/>
        <w:jc w:val="center"/>
        <w:rPr>
          <w:rFonts w:ascii="Times New Roman" w:hAnsi="Times New Roman" w:cs="Times New Roman"/>
          <w:b/>
          <w:bCs/>
        </w:rPr>
      </w:pPr>
      <w:r>
        <w:rPr>
          <w:rFonts w:ascii="Times New Roman" w:hAnsi="Times New Roman" w:cs="Times New Roman"/>
          <w:b/>
          <w:bCs/>
        </w:rPr>
        <w:t>No. 11-3869</w:t>
      </w:r>
    </w:p>
    <w:p w:rsidR="007D5435" w:rsidRDefault="007D5435" w:rsidP="007D5435">
      <w:pPr>
        <w:widowControl/>
        <w:rPr>
          <w:rFonts w:ascii="Times New Roman" w:hAnsi="Times New Roman" w:cs="Times New Roman"/>
          <w:b/>
          <w:bCs/>
        </w:rPr>
      </w:pPr>
    </w:p>
    <w:p w:rsidR="007D5435" w:rsidRDefault="007D5435" w:rsidP="007D5435">
      <w:pPr>
        <w:widowControl/>
        <w:ind w:left="1200" w:right="1200"/>
        <w:jc w:val="center"/>
        <w:rPr>
          <w:rFonts w:ascii="Times New Roman" w:hAnsi="Times New Roman" w:cs="Times New Roman"/>
          <w:b/>
          <w:bCs/>
        </w:rPr>
      </w:pPr>
      <w:r>
        <w:rPr>
          <w:rFonts w:ascii="Times New Roman" w:hAnsi="Times New Roman" w:cs="Times New Roman"/>
          <w:b/>
          <w:bCs/>
        </w:rPr>
        <w:t>UNITED STATES COURT OF APPEALS FOR THE SEVENTH CIRCUIT</w:t>
      </w:r>
    </w:p>
    <w:p w:rsidR="007D5435" w:rsidRDefault="007D5435" w:rsidP="007D5435">
      <w:pPr>
        <w:widowControl/>
        <w:rPr>
          <w:rFonts w:ascii="Times New Roman" w:hAnsi="Times New Roman" w:cs="Times New Roman"/>
          <w:b/>
          <w:bCs/>
        </w:rPr>
      </w:pPr>
    </w:p>
    <w:p w:rsidR="007D5435" w:rsidRDefault="007D5435" w:rsidP="007D5435">
      <w:pPr>
        <w:widowControl/>
        <w:ind w:left="1200" w:right="1200"/>
        <w:jc w:val="center"/>
        <w:rPr>
          <w:rFonts w:ascii="Times New Roman" w:hAnsi="Times New Roman" w:cs="Times New Roman"/>
          <w:b/>
          <w:bCs/>
        </w:rPr>
      </w:pPr>
      <w:proofErr w:type="gramStart"/>
      <w:r>
        <w:rPr>
          <w:rFonts w:ascii="Times New Roman" w:hAnsi="Times New Roman" w:cs="Times New Roman"/>
          <w:b/>
          <w:bCs/>
        </w:rPr>
        <w:t>499 Fed.</w:t>
      </w:r>
      <w:proofErr w:type="gramEnd"/>
      <w:r>
        <w:rPr>
          <w:rFonts w:ascii="Times New Roman" w:hAnsi="Times New Roman" w:cs="Times New Roman"/>
          <w:b/>
          <w:bCs/>
        </w:rPr>
        <w:t xml:space="preserve"> </w:t>
      </w:r>
      <w:proofErr w:type="spellStart"/>
      <w:proofErr w:type="gramStart"/>
      <w:r>
        <w:rPr>
          <w:rFonts w:ascii="Times New Roman" w:hAnsi="Times New Roman" w:cs="Times New Roman"/>
          <w:b/>
          <w:bCs/>
        </w:rPr>
        <w:t>Appx</w:t>
      </w:r>
      <w:proofErr w:type="spellEnd"/>
      <w:r>
        <w:rPr>
          <w:rFonts w:ascii="Times New Roman" w:hAnsi="Times New Roman" w:cs="Times New Roman"/>
          <w:b/>
          <w:bCs/>
        </w:rPr>
        <w:t>.</w:t>
      </w:r>
      <w:proofErr w:type="gramEnd"/>
      <w:r>
        <w:rPr>
          <w:rFonts w:ascii="Times New Roman" w:hAnsi="Times New Roman" w:cs="Times New Roman"/>
          <w:b/>
          <w:bCs/>
        </w:rPr>
        <w:t xml:space="preserve"> 592; 2013 U.S. App. LEXIS 462</w:t>
      </w:r>
    </w:p>
    <w:p w:rsidR="007D5435" w:rsidRDefault="007D5435" w:rsidP="007D5435">
      <w:pPr>
        <w:widowControl/>
        <w:rPr>
          <w:rFonts w:ascii="Times New Roman" w:hAnsi="Times New Roman" w:cs="Times New Roman"/>
          <w:b/>
          <w:bCs/>
        </w:rPr>
      </w:pPr>
    </w:p>
    <w:p w:rsidR="007D5435" w:rsidRDefault="007D5435" w:rsidP="007D5435">
      <w:pPr>
        <w:widowControl/>
        <w:ind w:left="1200" w:right="1200"/>
        <w:jc w:val="center"/>
        <w:rPr>
          <w:rFonts w:ascii="Times New Roman" w:hAnsi="Times New Roman" w:cs="Times New Roman"/>
          <w:b/>
          <w:bCs/>
        </w:rPr>
      </w:pPr>
      <w:r>
        <w:rPr>
          <w:rFonts w:ascii="Times New Roman" w:hAnsi="Times New Roman" w:cs="Times New Roman"/>
          <w:b/>
          <w:bCs/>
        </w:rPr>
        <w:t xml:space="preserve">December 11, 2012, Argued </w:t>
      </w:r>
    </w:p>
    <w:p w:rsidR="007D5435" w:rsidRDefault="007D5435" w:rsidP="007D5435">
      <w:pPr>
        <w:widowControl/>
        <w:ind w:left="1200" w:right="1200"/>
        <w:jc w:val="center"/>
        <w:rPr>
          <w:rFonts w:ascii="Times New Roman" w:hAnsi="Times New Roman" w:cs="Times New Roman"/>
          <w:b/>
          <w:bCs/>
        </w:rPr>
      </w:pPr>
      <w:r>
        <w:rPr>
          <w:rFonts w:ascii="Times New Roman" w:hAnsi="Times New Roman" w:cs="Times New Roman"/>
          <w:b/>
          <w:bCs/>
          <w:i/>
          <w:iCs/>
        </w:rPr>
        <w:t>January 8, 2013</w:t>
      </w:r>
      <w:r>
        <w:rPr>
          <w:rFonts w:ascii="Times New Roman" w:hAnsi="Times New Roman" w:cs="Times New Roman"/>
          <w:b/>
          <w:bCs/>
        </w:rPr>
        <w:t>, Decided</w:t>
      </w:r>
    </w:p>
    <w:p w:rsidR="007D5435" w:rsidRDefault="007D5435" w:rsidP="007D5435">
      <w:pPr>
        <w:widowControl/>
        <w:rPr>
          <w:rFonts w:ascii="Times New Roman" w:hAnsi="Times New Roman" w:cs="Times New Roman"/>
          <w:b/>
          <w:bCs/>
        </w:rPr>
      </w:pPr>
    </w:p>
    <w:p w:rsidR="007D5435" w:rsidRDefault="007D5435" w:rsidP="007D5435">
      <w:pPr>
        <w:widowControl/>
        <w:rPr>
          <w:rFonts w:ascii="Times New Roman" w:hAnsi="Times New Roman" w:cs="Times New Roman"/>
        </w:rPr>
      </w:pPr>
      <w:r>
        <w:rPr>
          <w:rFonts w:ascii="Times New Roman" w:hAnsi="Times New Roman" w:cs="Times New Roman"/>
          <w:b/>
          <w:bCs/>
        </w:rPr>
        <w:t xml:space="preserve">NOTICE: </w:t>
      </w:r>
      <w:r>
        <w:rPr>
          <w:rFonts w:ascii="Times New Roman" w:hAnsi="Times New Roman" w:cs="Times New Roman"/>
        </w:rPr>
        <w:t xml:space="preserve">   PLEASE REFER TO FEDERAL RULES OF APPELLATE PROCEDURE RULE 32.1 GOVERNING THE CITATION TO UNPUBLISHED OPINIONS.</w:t>
      </w:r>
    </w:p>
    <w:p w:rsidR="007D5435" w:rsidRDefault="007D5435" w:rsidP="007D5435">
      <w:pPr>
        <w:widowControl/>
        <w:rPr>
          <w:rFonts w:ascii="Times New Roman" w:hAnsi="Times New Roman" w:cs="Times New Roman"/>
        </w:rPr>
      </w:pPr>
    </w:p>
    <w:p w:rsidR="007D5435" w:rsidRDefault="007D5435" w:rsidP="007D5435">
      <w:pPr>
        <w:widowControl/>
        <w:rPr>
          <w:rFonts w:ascii="Times New Roman" w:hAnsi="Times New Roman" w:cs="Times New Roman"/>
        </w:rPr>
      </w:pPr>
      <w:r>
        <w:rPr>
          <w:rFonts w:ascii="Times New Roman" w:hAnsi="Times New Roman" w:cs="Times New Roman"/>
          <w:b/>
          <w:bCs/>
        </w:rPr>
        <w:t xml:space="preserve">PRIOR HISTORY: </w:t>
      </w:r>
      <w:r>
        <w:rPr>
          <w:rFonts w:ascii="Times New Roman" w:hAnsi="Times New Roman" w:cs="Times New Roman"/>
        </w:rPr>
        <w:t xml:space="preserve"> [**1] </w:t>
      </w:r>
    </w:p>
    <w:p w:rsidR="007D5435" w:rsidRDefault="007D5435" w:rsidP="007D5435">
      <w:pPr>
        <w:widowControl/>
        <w:rPr>
          <w:rFonts w:ascii="Times New Roman" w:hAnsi="Times New Roman" w:cs="Times New Roman"/>
        </w:rPr>
      </w:pPr>
      <w:r>
        <w:rPr>
          <w:rFonts w:ascii="Times New Roman" w:hAnsi="Times New Roman" w:cs="Times New Roman"/>
        </w:rPr>
        <w:t xml:space="preserve">   Appeal from the United States District Court for the Southern District of Illinois. </w:t>
      </w:r>
      <w:proofErr w:type="gramStart"/>
      <w:r>
        <w:rPr>
          <w:rFonts w:ascii="Times New Roman" w:hAnsi="Times New Roman" w:cs="Times New Roman"/>
        </w:rPr>
        <w:t>No. 11-CR-30077-001-WDS.</w:t>
      </w:r>
      <w:proofErr w:type="gramEnd"/>
      <w:r>
        <w:rPr>
          <w:rFonts w:ascii="Times New Roman" w:hAnsi="Times New Roman" w:cs="Times New Roman"/>
        </w:rPr>
        <w:t xml:space="preserve"> Wi</w:t>
      </w:r>
      <w:r>
        <w:rPr>
          <w:rFonts w:ascii="Times New Roman" w:hAnsi="Times New Roman" w:cs="Times New Roman"/>
        </w:rPr>
        <w:t>l</w:t>
      </w:r>
      <w:r>
        <w:rPr>
          <w:rFonts w:ascii="Times New Roman" w:hAnsi="Times New Roman" w:cs="Times New Roman"/>
        </w:rPr>
        <w:t xml:space="preserve">liam D. </w:t>
      </w:r>
      <w:proofErr w:type="spellStart"/>
      <w:r>
        <w:rPr>
          <w:rFonts w:ascii="Times New Roman" w:hAnsi="Times New Roman" w:cs="Times New Roman"/>
        </w:rPr>
        <w:t>Stiehl</w:t>
      </w:r>
      <w:proofErr w:type="spellEnd"/>
      <w:r>
        <w:rPr>
          <w:rFonts w:ascii="Times New Roman" w:hAnsi="Times New Roman" w:cs="Times New Roman"/>
        </w:rPr>
        <w:t>, Judge.</w:t>
      </w:r>
    </w:p>
    <w:p w:rsidR="007D5435" w:rsidRDefault="007D5435" w:rsidP="007D5435">
      <w:pPr>
        <w:widowControl/>
        <w:rPr>
          <w:rFonts w:ascii="Times New Roman" w:hAnsi="Times New Roman" w:cs="Times New Roman"/>
        </w:rPr>
      </w:pPr>
    </w:p>
    <w:p w:rsidR="007D5435" w:rsidRDefault="007D5435" w:rsidP="007D5435">
      <w:pPr>
        <w:widowControl/>
        <w:rPr>
          <w:rFonts w:ascii="Times New Roman" w:hAnsi="Times New Roman" w:cs="Times New Roman"/>
        </w:rPr>
      </w:pPr>
      <w:r>
        <w:rPr>
          <w:rFonts w:ascii="Times New Roman" w:hAnsi="Times New Roman" w:cs="Times New Roman"/>
          <w:b/>
          <w:bCs/>
        </w:rPr>
        <w:t xml:space="preserve">COUNSEL: </w:t>
      </w:r>
      <w:r>
        <w:rPr>
          <w:rFonts w:ascii="Times New Roman" w:hAnsi="Times New Roman" w:cs="Times New Roman"/>
        </w:rPr>
        <w:t xml:space="preserve">For UNITED STATES OF AMERICA, Plaintiff - </w:t>
      </w:r>
      <w:proofErr w:type="spellStart"/>
      <w:r>
        <w:rPr>
          <w:rFonts w:ascii="Times New Roman" w:hAnsi="Times New Roman" w:cs="Times New Roman"/>
        </w:rPr>
        <w:t>Appellee</w:t>
      </w:r>
      <w:proofErr w:type="spellEnd"/>
      <w:r>
        <w:rPr>
          <w:rFonts w:ascii="Times New Roman" w:hAnsi="Times New Roman" w:cs="Times New Roman"/>
        </w:rPr>
        <w:t xml:space="preserve">: Stephen R. </w:t>
      </w:r>
      <w:proofErr w:type="spellStart"/>
      <w:r>
        <w:rPr>
          <w:rFonts w:ascii="Times New Roman" w:hAnsi="Times New Roman" w:cs="Times New Roman"/>
        </w:rPr>
        <w:t>Wigginton</w:t>
      </w:r>
      <w:proofErr w:type="spellEnd"/>
      <w:r>
        <w:rPr>
          <w:rFonts w:ascii="Times New Roman" w:hAnsi="Times New Roman" w:cs="Times New Roman"/>
        </w:rPr>
        <w:t xml:space="preserve">, Attorney, OFFICE OF THE UNITED STATES ATTORNEY, Civil Division, </w:t>
      </w:r>
      <w:proofErr w:type="gramStart"/>
      <w:r>
        <w:rPr>
          <w:rFonts w:ascii="Times New Roman" w:hAnsi="Times New Roman" w:cs="Times New Roman"/>
        </w:rPr>
        <w:t>Fairview</w:t>
      </w:r>
      <w:proofErr w:type="gramEnd"/>
      <w:r>
        <w:rPr>
          <w:rFonts w:ascii="Times New Roman" w:hAnsi="Times New Roman" w:cs="Times New Roman"/>
        </w:rPr>
        <w:t xml:space="preserve"> Heights, IL.</w:t>
      </w:r>
    </w:p>
    <w:p w:rsidR="007D5435" w:rsidRDefault="007D5435" w:rsidP="007D5435">
      <w:pPr>
        <w:widowControl/>
        <w:rPr>
          <w:rFonts w:ascii="Times New Roman" w:hAnsi="Times New Roman" w:cs="Times New Roman"/>
        </w:rPr>
      </w:pPr>
    </w:p>
    <w:p w:rsidR="007D5435" w:rsidRDefault="007D5435" w:rsidP="007D5435">
      <w:pPr>
        <w:widowControl/>
        <w:rPr>
          <w:rFonts w:ascii="Times New Roman" w:hAnsi="Times New Roman" w:cs="Times New Roman"/>
        </w:rPr>
      </w:pPr>
      <w:r>
        <w:rPr>
          <w:rFonts w:ascii="Times New Roman" w:hAnsi="Times New Roman" w:cs="Times New Roman"/>
        </w:rPr>
        <w:t xml:space="preserve">For EDWARD LYNN </w:t>
      </w:r>
      <w:proofErr w:type="spellStart"/>
      <w:r>
        <w:rPr>
          <w:rFonts w:ascii="Times New Roman" w:hAnsi="Times New Roman" w:cs="Times New Roman"/>
        </w:rPr>
        <w:t>MOSKOP</w:t>
      </w:r>
      <w:proofErr w:type="spellEnd"/>
      <w:r>
        <w:rPr>
          <w:rFonts w:ascii="Times New Roman" w:hAnsi="Times New Roman" w:cs="Times New Roman"/>
        </w:rPr>
        <w:t>, Defendant - Appellant: Johanna M. Christiansen, Attorney, Jonathan E. Hawley, Federal Public Defender, Andrew J. McGowan, Attorney, OFFICE OF THE FEDERAL PUBLIC DEFENDER, Peoria, IL.</w:t>
      </w:r>
    </w:p>
    <w:p w:rsidR="007D5435" w:rsidRDefault="007D5435" w:rsidP="007D5435">
      <w:pPr>
        <w:widowControl/>
        <w:rPr>
          <w:rFonts w:ascii="Times New Roman" w:hAnsi="Times New Roman" w:cs="Times New Roman"/>
        </w:rPr>
      </w:pPr>
    </w:p>
    <w:p w:rsidR="007D5435" w:rsidRDefault="007D5435" w:rsidP="007D5435">
      <w:pPr>
        <w:widowControl/>
        <w:rPr>
          <w:rFonts w:ascii="Times New Roman" w:hAnsi="Times New Roman" w:cs="Times New Roman"/>
        </w:rPr>
      </w:pPr>
      <w:proofErr w:type="gramStart"/>
      <w:r>
        <w:rPr>
          <w:rFonts w:ascii="Times New Roman" w:hAnsi="Times New Roman" w:cs="Times New Roman"/>
          <w:b/>
          <w:bCs/>
        </w:rPr>
        <w:t xml:space="preserve">JUDGES: </w:t>
      </w:r>
      <w:r>
        <w:rPr>
          <w:rFonts w:ascii="Times New Roman" w:hAnsi="Times New Roman" w:cs="Times New Roman"/>
        </w:rPr>
        <w:t>Before WILLIAM J. BAUER, Circuit Judge, ANN CLAIRE WILLIAMS, Circuit Judge, DIANE S. SYKES, Circuit Judge.</w:t>
      </w:r>
      <w:proofErr w:type="gramEnd"/>
    </w:p>
    <w:p w:rsidR="007D5435" w:rsidRDefault="007D5435" w:rsidP="007D5435">
      <w:pPr>
        <w:widowControl/>
        <w:rPr>
          <w:rFonts w:ascii="Times New Roman" w:hAnsi="Times New Roman" w:cs="Times New Roman"/>
        </w:rPr>
      </w:pPr>
    </w:p>
    <w:p w:rsidR="007D5435" w:rsidRDefault="007D5435" w:rsidP="007D5435">
      <w:pPr>
        <w:widowControl/>
        <w:rPr>
          <w:rFonts w:ascii="Times New Roman" w:hAnsi="Times New Roman" w:cs="Times New Roman"/>
          <w:b/>
          <w:bCs/>
        </w:rPr>
      </w:pPr>
      <w:r>
        <w:rPr>
          <w:rFonts w:ascii="Times New Roman" w:hAnsi="Times New Roman" w:cs="Times New Roman"/>
          <w:b/>
          <w:bCs/>
        </w:rPr>
        <w:t>OPINION</w:t>
      </w:r>
    </w:p>
    <w:p w:rsidR="007D5435" w:rsidRDefault="007D5435" w:rsidP="007D5435">
      <w:pPr>
        <w:widowControl/>
        <w:rPr>
          <w:rFonts w:ascii="Times New Roman" w:hAnsi="Times New Roman" w:cs="Times New Roman"/>
        </w:rPr>
      </w:pPr>
    </w:p>
    <w:p w:rsidR="007D5435" w:rsidRDefault="007D5435" w:rsidP="007D5435">
      <w:pPr>
        <w:widowControl/>
        <w:rPr>
          <w:rFonts w:ascii="Times New Roman" w:hAnsi="Times New Roman" w:cs="Times New Roman"/>
        </w:rPr>
      </w:pPr>
      <w:r>
        <w:rPr>
          <w:rFonts w:ascii="Times New Roman" w:hAnsi="Times New Roman" w:cs="Times New Roman"/>
        </w:rPr>
        <w:t xml:space="preserve"> [*593]  </w:t>
      </w:r>
      <w:r>
        <w:rPr>
          <w:rFonts w:ascii="Times New Roman" w:hAnsi="Times New Roman" w:cs="Times New Roman"/>
          <w:b/>
          <w:bCs/>
        </w:rPr>
        <w:t>ORDER</w:t>
      </w:r>
      <w:r>
        <w:rPr>
          <w:rFonts w:ascii="Times New Roman" w:hAnsi="Times New Roman" w:cs="Times New Roman"/>
        </w:rPr>
        <w:t xml:space="preserve"> </w:t>
      </w:r>
    </w:p>
    <w:p w:rsidR="007D5435" w:rsidRDefault="007D5435" w:rsidP="007D5435">
      <w:pPr>
        <w:widowControl/>
        <w:spacing w:before="120"/>
        <w:ind w:firstLine="360"/>
        <w:rPr>
          <w:rFonts w:ascii="Times New Roman" w:hAnsi="Times New Roman" w:cs="Times New Roman"/>
        </w:rPr>
      </w:pPr>
      <w:r>
        <w:rPr>
          <w:rFonts w:ascii="Times New Roman" w:hAnsi="Times New Roman" w:cs="Times New Roman"/>
        </w:rPr>
        <w:t xml:space="preserve">Edward </w:t>
      </w:r>
      <w:proofErr w:type="spellStart"/>
      <w:r>
        <w:rPr>
          <w:rFonts w:ascii="Times New Roman" w:hAnsi="Times New Roman" w:cs="Times New Roman"/>
        </w:rPr>
        <w:t>Moskop</w:t>
      </w:r>
      <w:proofErr w:type="spellEnd"/>
      <w:r>
        <w:rPr>
          <w:rFonts w:ascii="Times New Roman" w:hAnsi="Times New Roman" w:cs="Times New Roman"/>
        </w:rPr>
        <w:t xml:space="preserve"> pleaded guilty to mail fraud and money laundering, 18 </w:t>
      </w:r>
      <w:proofErr w:type="spellStart"/>
      <w:r>
        <w:rPr>
          <w:rFonts w:ascii="Times New Roman" w:hAnsi="Times New Roman" w:cs="Times New Roman"/>
        </w:rPr>
        <w:t>U.S.C.</w:t>
      </w:r>
      <w:proofErr w:type="spellEnd"/>
      <w:r>
        <w:rPr>
          <w:rFonts w:ascii="Times New Roman" w:hAnsi="Times New Roman" w:cs="Times New Roman"/>
        </w:rPr>
        <w:t xml:space="preserve"> '' 1341, 1957(a), after authorities discovered that he had run a </w:t>
      </w:r>
      <w:r>
        <w:rPr>
          <w:rFonts w:ascii="Times New Roman" w:hAnsi="Times New Roman" w:cs="Times New Roman"/>
          <w:b/>
          <w:bCs/>
          <w:i/>
          <w:iCs/>
        </w:rPr>
        <w:t>Ponzi</w:t>
      </w:r>
      <w:r>
        <w:rPr>
          <w:rFonts w:ascii="Times New Roman" w:hAnsi="Times New Roman" w:cs="Times New Roman"/>
        </w:rPr>
        <w:t xml:space="preserve"> scheme for 20 years and stolen more than $1.4 million from 26 victims. The district court calculated a guidelines imprisonment range of 135 to 168 months and imposed concurrent terms totaling 240 months. On appeal </w:t>
      </w:r>
      <w:proofErr w:type="spellStart"/>
      <w:r>
        <w:rPr>
          <w:rFonts w:ascii="Times New Roman" w:hAnsi="Times New Roman" w:cs="Times New Roman"/>
        </w:rPr>
        <w:t>Moskop</w:t>
      </w:r>
      <w:proofErr w:type="spellEnd"/>
      <w:r>
        <w:rPr>
          <w:rFonts w:ascii="Times New Roman" w:hAnsi="Times New Roman" w:cs="Times New Roman"/>
        </w:rPr>
        <w:t xml:space="preserve"> contends that the court failed to address his arguments in mitigation and, consequently, i</w:t>
      </w:r>
      <w:r>
        <w:rPr>
          <w:rFonts w:ascii="Times New Roman" w:hAnsi="Times New Roman" w:cs="Times New Roman"/>
        </w:rPr>
        <w:t>m</w:t>
      </w:r>
      <w:r>
        <w:rPr>
          <w:rFonts w:ascii="Times New Roman" w:hAnsi="Times New Roman" w:cs="Times New Roman"/>
        </w:rPr>
        <w:t>posed an unreasonable prison sentence. We disagree and affirm the judgment.</w:t>
      </w:r>
    </w:p>
    <w:p w:rsidR="007D5435" w:rsidRDefault="007D5435" w:rsidP="007D5435">
      <w:pPr>
        <w:widowControl/>
        <w:spacing w:before="120"/>
        <w:ind w:firstLine="360"/>
        <w:rPr>
          <w:rFonts w:ascii="Times New Roman" w:hAnsi="Times New Roman" w:cs="Times New Roman"/>
        </w:rPr>
      </w:pPr>
      <w:r>
        <w:rPr>
          <w:rFonts w:ascii="Times New Roman" w:hAnsi="Times New Roman" w:cs="Times New Roman"/>
        </w:rPr>
        <w:t xml:space="preserve">Beginning in 1982, </w:t>
      </w:r>
      <w:proofErr w:type="spellStart"/>
      <w:r>
        <w:rPr>
          <w:rFonts w:ascii="Times New Roman" w:hAnsi="Times New Roman" w:cs="Times New Roman"/>
        </w:rPr>
        <w:t>Moskop</w:t>
      </w:r>
      <w:proofErr w:type="spellEnd"/>
      <w:r>
        <w:rPr>
          <w:rFonts w:ascii="Times New Roman" w:hAnsi="Times New Roman" w:cs="Times New Roman"/>
        </w:rPr>
        <w:t xml:space="preserve"> operated Financial Services </w:t>
      </w:r>
      <w:proofErr w:type="spellStart"/>
      <w:proofErr w:type="gramStart"/>
      <w:r>
        <w:rPr>
          <w:rFonts w:ascii="Times New Roman" w:hAnsi="Times New Roman" w:cs="Times New Roman"/>
        </w:rPr>
        <w:t>Moskop</w:t>
      </w:r>
      <w:proofErr w:type="spellEnd"/>
      <w:r>
        <w:rPr>
          <w:rFonts w:ascii="Times New Roman" w:hAnsi="Times New Roman" w:cs="Times New Roman"/>
        </w:rPr>
        <w:t xml:space="preserve">  [</w:t>
      </w:r>
      <w:proofErr w:type="gramEnd"/>
      <w:r>
        <w:rPr>
          <w:rFonts w:ascii="Times New Roman" w:hAnsi="Times New Roman" w:cs="Times New Roman"/>
        </w:rPr>
        <w:t xml:space="preserve">**2] &amp; Associates,  [*594]  Inc., in Belleville, Illinois. Through that business he sold insurance policies and investment products to individual clients. In 1990 the former National Association of Securities Dealers revoked </w:t>
      </w:r>
      <w:proofErr w:type="spellStart"/>
      <w:r>
        <w:rPr>
          <w:rFonts w:ascii="Times New Roman" w:hAnsi="Times New Roman" w:cs="Times New Roman"/>
        </w:rPr>
        <w:t>Moskop's</w:t>
      </w:r>
      <w:proofErr w:type="spellEnd"/>
      <w:r>
        <w:rPr>
          <w:rFonts w:ascii="Times New Roman" w:hAnsi="Times New Roman" w:cs="Times New Roman"/>
        </w:rPr>
        <w:t xml:space="preserve"> license to sell securities after determining that he had converted $30,000 of client funds. For the next 20 years, however, </w:t>
      </w:r>
      <w:proofErr w:type="spellStart"/>
      <w:r>
        <w:rPr>
          <w:rFonts w:ascii="Times New Roman" w:hAnsi="Times New Roman" w:cs="Times New Roman"/>
        </w:rPr>
        <w:t>Moskop</w:t>
      </w:r>
      <w:proofErr w:type="spellEnd"/>
      <w:r>
        <w:rPr>
          <w:rFonts w:ascii="Times New Roman" w:hAnsi="Times New Roman" w:cs="Times New Roman"/>
        </w:rPr>
        <w:t xml:space="preserve"> misrepresented himself as still autho</w:t>
      </w:r>
      <w:r>
        <w:rPr>
          <w:rFonts w:ascii="Times New Roman" w:hAnsi="Times New Roman" w:cs="Times New Roman"/>
        </w:rPr>
        <w:t>r</w:t>
      </w:r>
      <w:r>
        <w:rPr>
          <w:rFonts w:ascii="Times New Roman" w:hAnsi="Times New Roman" w:cs="Times New Roman"/>
        </w:rPr>
        <w:t>ized to sell securities.</w:t>
      </w:r>
    </w:p>
    <w:p w:rsidR="007D5435" w:rsidRDefault="007D5435" w:rsidP="007D5435">
      <w:pPr>
        <w:widowControl/>
        <w:spacing w:before="120"/>
        <w:ind w:firstLine="360"/>
        <w:rPr>
          <w:rFonts w:ascii="Times New Roman" w:hAnsi="Times New Roman" w:cs="Times New Roman"/>
        </w:rPr>
      </w:pPr>
      <w:r>
        <w:rPr>
          <w:rFonts w:ascii="Times New Roman" w:hAnsi="Times New Roman" w:cs="Times New Roman"/>
        </w:rPr>
        <w:t xml:space="preserve">During that period </w:t>
      </w:r>
      <w:proofErr w:type="spellStart"/>
      <w:r>
        <w:rPr>
          <w:rFonts w:ascii="Times New Roman" w:hAnsi="Times New Roman" w:cs="Times New Roman"/>
        </w:rPr>
        <w:t>Moskop</w:t>
      </w:r>
      <w:proofErr w:type="spellEnd"/>
      <w:r>
        <w:rPr>
          <w:rFonts w:ascii="Times New Roman" w:hAnsi="Times New Roman" w:cs="Times New Roman"/>
        </w:rPr>
        <w:t xml:space="preserve"> was running a </w:t>
      </w:r>
      <w:r>
        <w:rPr>
          <w:rFonts w:ascii="Times New Roman" w:hAnsi="Times New Roman" w:cs="Times New Roman"/>
          <w:b/>
          <w:bCs/>
          <w:i/>
          <w:iCs/>
        </w:rPr>
        <w:t>Ponzi</w:t>
      </w:r>
      <w:r>
        <w:rPr>
          <w:rFonts w:ascii="Times New Roman" w:hAnsi="Times New Roman" w:cs="Times New Roman"/>
        </w:rPr>
        <w:t xml:space="preserve"> scheme and converted more than $2.4 million from clients who believed he was investing their money in securities. </w:t>
      </w:r>
      <w:proofErr w:type="spellStart"/>
      <w:r>
        <w:rPr>
          <w:rFonts w:ascii="Times New Roman" w:hAnsi="Times New Roman" w:cs="Times New Roman"/>
        </w:rPr>
        <w:t>Moskop</w:t>
      </w:r>
      <w:proofErr w:type="spellEnd"/>
      <w:r>
        <w:rPr>
          <w:rFonts w:ascii="Times New Roman" w:hAnsi="Times New Roman" w:cs="Times New Roman"/>
        </w:rPr>
        <w:t xml:space="preserve"> advertised fictitious investment products and deceived his clients about the status of their money by creating false investment receipts and tax statements. He also continued to sell insurance policies, but often pocketed his clients' premium payments instead of sending them to the carriers. When </w:t>
      </w:r>
      <w:proofErr w:type="spellStart"/>
      <w:r>
        <w:rPr>
          <w:rFonts w:ascii="Times New Roman" w:hAnsi="Times New Roman" w:cs="Times New Roman"/>
        </w:rPr>
        <w:t>Moskop</w:t>
      </w:r>
      <w:proofErr w:type="spellEnd"/>
      <w:r>
        <w:rPr>
          <w:rFonts w:ascii="Times New Roman" w:hAnsi="Times New Roman" w:cs="Times New Roman"/>
        </w:rPr>
        <w:t xml:space="preserve"> could not dissuade clients who wanted to liquidate their investment accounts, he made "lulling" payments drawn from funds provided by other clients; those outgoing payments totaled almost $1 million, leaving </w:t>
      </w:r>
      <w:proofErr w:type="spellStart"/>
      <w:r>
        <w:rPr>
          <w:rFonts w:ascii="Times New Roman" w:hAnsi="Times New Roman" w:cs="Times New Roman"/>
        </w:rPr>
        <w:t>Moskop</w:t>
      </w:r>
      <w:proofErr w:type="spellEnd"/>
      <w:r>
        <w:rPr>
          <w:rFonts w:ascii="Times New Roman" w:hAnsi="Times New Roman" w:cs="Times New Roman"/>
        </w:rPr>
        <w:t xml:space="preserve"> with roughly $1.4 million. He used that money to support himself and his family.</w:t>
      </w:r>
    </w:p>
    <w:p w:rsidR="007D5435" w:rsidRDefault="007D5435" w:rsidP="007D5435">
      <w:pPr>
        <w:widowControl/>
        <w:spacing w:before="120"/>
        <w:ind w:firstLine="360"/>
        <w:rPr>
          <w:rFonts w:ascii="Times New Roman" w:hAnsi="Times New Roman" w:cs="Times New Roman"/>
        </w:rPr>
      </w:pPr>
      <w:proofErr w:type="spellStart"/>
      <w:r>
        <w:rPr>
          <w:rFonts w:ascii="Times New Roman" w:hAnsi="Times New Roman" w:cs="Times New Roman"/>
        </w:rPr>
        <w:t>Moskop</w:t>
      </w:r>
      <w:proofErr w:type="spellEnd"/>
      <w:r>
        <w:rPr>
          <w:rFonts w:ascii="Times New Roman" w:hAnsi="Times New Roman" w:cs="Times New Roman"/>
        </w:rPr>
        <w:t xml:space="preserve"> used other </w:t>
      </w:r>
      <w:proofErr w:type="gramStart"/>
      <w:r>
        <w:rPr>
          <w:rFonts w:ascii="Times New Roman" w:hAnsi="Times New Roman" w:cs="Times New Roman"/>
        </w:rPr>
        <w:t>strategies  [</w:t>
      </w:r>
      <w:proofErr w:type="gramEnd"/>
      <w:r>
        <w:rPr>
          <w:rFonts w:ascii="Times New Roman" w:hAnsi="Times New Roman" w:cs="Times New Roman"/>
        </w:rPr>
        <w:t xml:space="preserve">**3] besides the lulling payments to avoid detection. Many of his victims were longtime friends and relatives, including his sister. He also targeted elderly clients who were enticed by his promises of safety and high rates of return for their retirement funds. </w:t>
      </w:r>
      <w:proofErr w:type="spellStart"/>
      <w:r>
        <w:rPr>
          <w:rFonts w:ascii="Times New Roman" w:hAnsi="Times New Roman" w:cs="Times New Roman"/>
        </w:rPr>
        <w:t>Moskop</w:t>
      </w:r>
      <w:proofErr w:type="spellEnd"/>
      <w:r>
        <w:rPr>
          <w:rFonts w:ascii="Times New Roman" w:hAnsi="Times New Roman" w:cs="Times New Roman"/>
        </w:rPr>
        <w:t xml:space="preserve"> stole the life savings of many of those victims. The scheme finally fell apart in 2010 when he could not repay two victims who wanted to liquidate their accounts. During the ensuing investigation he disclosed details of the scheme and helped identify all of his victims. He then pleaded guilty to mail fraud and money laundering.</w:t>
      </w:r>
    </w:p>
    <w:p w:rsidR="007D5435" w:rsidRDefault="007D5435" w:rsidP="007D5435">
      <w:pPr>
        <w:widowControl/>
        <w:spacing w:before="120"/>
        <w:ind w:firstLine="360"/>
        <w:rPr>
          <w:rFonts w:ascii="Times New Roman" w:hAnsi="Times New Roman" w:cs="Times New Roman"/>
        </w:rPr>
      </w:pPr>
      <w:r>
        <w:rPr>
          <w:rFonts w:ascii="Times New Roman" w:hAnsi="Times New Roman" w:cs="Times New Roman"/>
        </w:rPr>
        <w:t>After reviewing the presentence report, the prosecutor submitted a sentencing memorandum arguing that the i</w:t>
      </w:r>
      <w:r>
        <w:rPr>
          <w:rFonts w:ascii="Times New Roman" w:hAnsi="Times New Roman" w:cs="Times New Roman"/>
        </w:rPr>
        <w:t>m</w:t>
      </w:r>
      <w:r>
        <w:rPr>
          <w:rFonts w:ascii="Times New Roman" w:hAnsi="Times New Roman" w:cs="Times New Roman"/>
        </w:rPr>
        <w:t xml:space="preserve">prisonment range of 135 to 168 months was too low and recommending a sentence of "not less than . . . twenty years." The prosecutor added that </w:t>
      </w:r>
      <w:proofErr w:type="spellStart"/>
      <w:r>
        <w:rPr>
          <w:rFonts w:ascii="Times New Roman" w:hAnsi="Times New Roman" w:cs="Times New Roman"/>
        </w:rPr>
        <w:t>Moskop's</w:t>
      </w:r>
      <w:proofErr w:type="spellEnd"/>
      <w:r>
        <w:rPr>
          <w:rFonts w:ascii="Times New Roman" w:hAnsi="Times New Roman" w:cs="Times New Roman"/>
        </w:rPr>
        <w:t xml:space="preserve"> victims thought a sentence at the statutory maximum of 30 years (20 years for mail fraud plus a consecutive term of 10 years for money laundering, </w:t>
      </w:r>
      <w:r>
        <w:rPr>
          <w:rFonts w:ascii="Times New Roman" w:hAnsi="Times New Roman" w:cs="Times New Roman"/>
          <w:i/>
          <w:iCs/>
        </w:rPr>
        <w:t>see</w:t>
      </w:r>
      <w:r>
        <w:rPr>
          <w:rFonts w:ascii="Times New Roman" w:hAnsi="Times New Roman" w:cs="Times New Roman"/>
        </w:rPr>
        <w:t xml:space="preserve"> 18 </w:t>
      </w:r>
      <w:proofErr w:type="spellStart"/>
      <w:r>
        <w:rPr>
          <w:rFonts w:ascii="Times New Roman" w:hAnsi="Times New Roman" w:cs="Times New Roman"/>
        </w:rPr>
        <w:t>U.S.C.</w:t>
      </w:r>
      <w:proofErr w:type="spellEnd"/>
      <w:r>
        <w:rPr>
          <w:rFonts w:ascii="Times New Roman" w:hAnsi="Times New Roman" w:cs="Times New Roman"/>
        </w:rPr>
        <w:t xml:space="preserve"> '' 1341, 1957(b)(1)), was necessary to provide just punishment. The prosecutor asserted that many of </w:t>
      </w:r>
      <w:proofErr w:type="spellStart"/>
      <w:r>
        <w:rPr>
          <w:rFonts w:ascii="Times New Roman" w:hAnsi="Times New Roman" w:cs="Times New Roman"/>
        </w:rPr>
        <w:t>Moskop's</w:t>
      </w:r>
      <w:proofErr w:type="spellEnd"/>
      <w:r>
        <w:rPr>
          <w:rFonts w:ascii="Times New Roman" w:hAnsi="Times New Roman" w:cs="Times New Roman"/>
        </w:rPr>
        <w:t xml:space="preserve"> victims had suffered financial ruin and severe emotional trauma.</w:t>
      </w:r>
    </w:p>
    <w:p w:rsidR="007D5435" w:rsidRDefault="007D5435" w:rsidP="007D5435">
      <w:pPr>
        <w:widowControl/>
        <w:spacing w:before="120"/>
        <w:ind w:firstLine="360"/>
        <w:rPr>
          <w:rFonts w:ascii="Times New Roman" w:hAnsi="Times New Roman" w:cs="Times New Roman"/>
        </w:rPr>
      </w:pPr>
      <w:r>
        <w:rPr>
          <w:rFonts w:ascii="Times New Roman" w:hAnsi="Times New Roman" w:cs="Times New Roman"/>
        </w:rPr>
        <w:t xml:space="preserve">In his own </w:t>
      </w:r>
      <w:proofErr w:type="gramStart"/>
      <w:r>
        <w:rPr>
          <w:rFonts w:ascii="Times New Roman" w:hAnsi="Times New Roman" w:cs="Times New Roman"/>
        </w:rPr>
        <w:t>sentencing  [</w:t>
      </w:r>
      <w:proofErr w:type="gramEnd"/>
      <w:r>
        <w:rPr>
          <w:rFonts w:ascii="Times New Roman" w:hAnsi="Times New Roman" w:cs="Times New Roman"/>
        </w:rPr>
        <w:t xml:space="preserve">**4] memorandum, </w:t>
      </w:r>
      <w:proofErr w:type="spellStart"/>
      <w:r>
        <w:rPr>
          <w:rFonts w:ascii="Times New Roman" w:hAnsi="Times New Roman" w:cs="Times New Roman"/>
        </w:rPr>
        <w:t>Moskop</w:t>
      </w:r>
      <w:proofErr w:type="spellEnd"/>
      <w:r>
        <w:rPr>
          <w:rFonts w:ascii="Times New Roman" w:hAnsi="Times New Roman" w:cs="Times New Roman"/>
        </w:rPr>
        <w:t xml:space="preserve"> argued that he should receive a sentence within the guidelines range. He emphasized the statutory directive "to avoid unwarranted sentence disparities among defendants with similar records who have been found guilty of similar conduct," 18 </w:t>
      </w:r>
      <w:proofErr w:type="spellStart"/>
      <w:r>
        <w:rPr>
          <w:rFonts w:ascii="Times New Roman" w:hAnsi="Times New Roman" w:cs="Times New Roman"/>
        </w:rPr>
        <w:t>U.S.C.</w:t>
      </w:r>
      <w:proofErr w:type="spellEnd"/>
      <w:r>
        <w:rPr>
          <w:rFonts w:ascii="Times New Roman" w:hAnsi="Times New Roman" w:cs="Times New Roman"/>
        </w:rPr>
        <w:t xml:space="preserve"> § 3553(a)(6), and cited a recent case from the same district in which the defendant had received only 87 months after reaped $1.9 million from a </w:t>
      </w:r>
      <w:r>
        <w:rPr>
          <w:rFonts w:ascii="Times New Roman" w:hAnsi="Times New Roman" w:cs="Times New Roman"/>
          <w:b/>
          <w:bCs/>
          <w:i/>
          <w:iCs/>
        </w:rPr>
        <w:t>Ponzi</w:t>
      </w:r>
      <w:r>
        <w:rPr>
          <w:rFonts w:ascii="Times New Roman" w:hAnsi="Times New Roman" w:cs="Times New Roman"/>
        </w:rPr>
        <w:t xml:space="preserve"> scheme. </w:t>
      </w:r>
      <w:proofErr w:type="spellStart"/>
      <w:r>
        <w:rPr>
          <w:rFonts w:ascii="Times New Roman" w:hAnsi="Times New Roman" w:cs="Times New Roman"/>
        </w:rPr>
        <w:t>Moskop</w:t>
      </w:r>
      <w:proofErr w:type="spellEnd"/>
      <w:r>
        <w:rPr>
          <w:rFonts w:ascii="Times New Roman" w:hAnsi="Times New Roman" w:cs="Times New Roman"/>
        </w:rPr>
        <w:t xml:space="preserve"> lauded that prosecution, </w:t>
      </w:r>
      <w:r>
        <w:rPr>
          <w:rFonts w:ascii="Times New Roman" w:hAnsi="Times New Roman" w:cs="Times New Roman"/>
          <w:i/>
          <w:iCs/>
        </w:rPr>
        <w:t xml:space="preserve">United States v. </w:t>
      </w:r>
      <w:proofErr w:type="spellStart"/>
      <w:r>
        <w:rPr>
          <w:rFonts w:ascii="Times New Roman" w:hAnsi="Times New Roman" w:cs="Times New Roman"/>
          <w:i/>
          <w:iCs/>
        </w:rPr>
        <w:t>Huelsmann</w:t>
      </w:r>
      <w:proofErr w:type="spellEnd"/>
      <w:r>
        <w:rPr>
          <w:rFonts w:ascii="Times New Roman" w:hAnsi="Times New Roman" w:cs="Times New Roman"/>
          <w:i/>
          <w:iCs/>
        </w:rPr>
        <w:t>,</w:t>
      </w:r>
      <w:r>
        <w:rPr>
          <w:rFonts w:ascii="Times New Roman" w:hAnsi="Times New Roman" w:cs="Times New Roman"/>
        </w:rPr>
        <w:t xml:space="preserve"> No. 3:09CR30180-001-GPM (S.D. Ill. Aug. 2, 2010), as the best example to guide the district court's sentencing decision, and tried to distinguish other prosecutions of </w:t>
      </w:r>
      <w:r>
        <w:rPr>
          <w:rFonts w:ascii="Times New Roman" w:hAnsi="Times New Roman" w:cs="Times New Roman"/>
          <w:b/>
          <w:bCs/>
          <w:i/>
          <w:iCs/>
        </w:rPr>
        <w:t>Ponzi</w:t>
      </w:r>
      <w:r>
        <w:rPr>
          <w:rFonts w:ascii="Times New Roman" w:hAnsi="Times New Roman" w:cs="Times New Roman"/>
        </w:rPr>
        <w:t xml:space="preserve"> schemes that the government said were more analogous. </w:t>
      </w:r>
      <w:proofErr w:type="spellStart"/>
      <w:r>
        <w:rPr>
          <w:rFonts w:ascii="Times New Roman" w:hAnsi="Times New Roman" w:cs="Times New Roman"/>
        </w:rPr>
        <w:t>Moskop</w:t>
      </w:r>
      <w:proofErr w:type="spellEnd"/>
      <w:r>
        <w:rPr>
          <w:rFonts w:ascii="Times New Roman" w:hAnsi="Times New Roman" w:cs="Times New Roman"/>
        </w:rPr>
        <w:t xml:space="preserve"> also argued that he deserved a guidelines sentence because he had cooperated with investigators and because, at age 64, a higher sentence would make it impossible for him ever to pay restitution. Finally, </w:t>
      </w:r>
      <w:proofErr w:type="spellStart"/>
      <w:r>
        <w:rPr>
          <w:rFonts w:ascii="Times New Roman" w:hAnsi="Times New Roman" w:cs="Times New Roman"/>
        </w:rPr>
        <w:t>Moskop</w:t>
      </w:r>
      <w:proofErr w:type="spellEnd"/>
      <w:r>
        <w:rPr>
          <w:rFonts w:ascii="Times New Roman" w:hAnsi="Times New Roman" w:cs="Times New Roman"/>
        </w:rPr>
        <w:t xml:space="preserve"> asserted that the court should reject the government's recommendation because, he insisted, a number of upward adjustments in the sentencing guidelines already accounted for much of the conduct unde</w:t>
      </w:r>
      <w:r>
        <w:rPr>
          <w:rFonts w:ascii="Times New Roman" w:hAnsi="Times New Roman" w:cs="Times New Roman"/>
        </w:rPr>
        <w:t>r</w:t>
      </w:r>
      <w:r>
        <w:rPr>
          <w:rFonts w:ascii="Times New Roman" w:hAnsi="Times New Roman" w:cs="Times New Roman"/>
        </w:rPr>
        <w:t>lying the government's proposed increase.</w:t>
      </w:r>
    </w:p>
    <w:p w:rsidR="007D5435" w:rsidRDefault="007D5435" w:rsidP="007D5435">
      <w:pPr>
        <w:widowControl/>
        <w:spacing w:before="120"/>
        <w:ind w:firstLine="360"/>
        <w:rPr>
          <w:rFonts w:ascii="Times New Roman" w:hAnsi="Times New Roman" w:cs="Times New Roman"/>
        </w:rPr>
      </w:pPr>
      <w:r>
        <w:rPr>
          <w:rFonts w:ascii="Times New Roman" w:hAnsi="Times New Roman" w:cs="Times New Roman"/>
        </w:rPr>
        <w:t xml:space="preserve"> [*595]  At sentencing, </w:t>
      </w:r>
      <w:proofErr w:type="spellStart"/>
      <w:r>
        <w:rPr>
          <w:rFonts w:ascii="Times New Roman" w:hAnsi="Times New Roman" w:cs="Times New Roman"/>
        </w:rPr>
        <w:t>Moskop</w:t>
      </w:r>
      <w:proofErr w:type="spellEnd"/>
      <w:r>
        <w:rPr>
          <w:rFonts w:ascii="Times New Roman" w:hAnsi="Times New Roman" w:cs="Times New Roman"/>
        </w:rPr>
        <w:t xml:space="preserve"> </w:t>
      </w:r>
      <w:proofErr w:type="gramStart"/>
      <w:r>
        <w:rPr>
          <w:rFonts w:ascii="Times New Roman" w:hAnsi="Times New Roman" w:cs="Times New Roman"/>
        </w:rPr>
        <w:t>pressed  [</w:t>
      </w:r>
      <w:proofErr w:type="gramEnd"/>
      <w:r>
        <w:rPr>
          <w:rFonts w:ascii="Times New Roman" w:hAnsi="Times New Roman" w:cs="Times New Roman"/>
        </w:rPr>
        <w:t xml:space="preserve">**5] his arguments that an above-range prison term would create an unwarranted sentence disparity, undervalue his help to investigators in untangling the fraud, and rest on grounds already factored into the guidelines range. In discussing the last point, </w:t>
      </w:r>
      <w:proofErr w:type="spellStart"/>
      <w:r>
        <w:rPr>
          <w:rFonts w:ascii="Times New Roman" w:hAnsi="Times New Roman" w:cs="Times New Roman"/>
        </w:rPr>
        <w:t>Moskop</w:t>
      </w:r>
      <w:proofErr w:type="spellEnd"/>
      <w:r>
        <w:rPr>
          <w:rFonts w:ascii="Times New Roman" w:hAnsi="Times New Roman" w:cs="Times New Roman"/>
        </w:rPr>
        <w:t xml:space="preserve"> noted that the amount of money he stole had determined his base offense level, </w:t>
      </w:r>
      <w:proofErr w:type="spellStart"/>
      <w:r>
        <w:rPr>
          <w:rFonts w:ascii="Times New Roman" w:hAnsi="Times New Roman" w:cs="Times New Roman"/>
        </w:rPr>
        <w:t>U.S.S.G.</w:t>
      </w:r>
      <w:proofErr w:type="spellEnd"/>
      <w:r>
        <w:rPr>
          <w:rFonts w:ascii="Times New Roman" w:hAnsi="Times New Roman" w:cs="Times New Roman"/>
        </w:rPr>
        <w:t xml:space="preserve"> § </w:t>
      </w:r>
      <w:proofErr w:type="gramStart"/>
      <w:r>
        <w:rPr>
          <w:rFonts w:ascii="Times New Roman" w:hAnsi="Times New Roman" w:cs="Times New Roman"/>
        </w:rPr>
        <w:t>2B1.1(</w:t>
      </w:r>
      <w:proofErr w:type="gramEnd"/>
      <w:r>
        <w:rPr>
          <w:rFonts w:ascii="Times New Roman" w:hAnsi="Times New Roman" w:cs="Times New Roman"/>
        </w:rPr>
        <w:t xml:space="preserve">b)(1)(I), and complained that his offense level already had been increased further because he had violated securities laws while acting as an investment adviser, </w:t>
      </w:r>
      <w:r>
        <w:rPr>
          <w:rFonts w:ascii="Times New Roman" w:hAnsi="Times New Roman" w:cs="Times New Roman"/>
          <w:i/>
          <w:iCs/>
        </w:rPr>
        <w:t>id.</w:t>
      </w:r>
      <w:r>
        <w:rPr>
          <w:rFonts w:ascii="Times New Roman" w:hAnsi="Times New Roman" w:cs="Times New Roman"/>
        </w:rPr>
        <w:t xml:space="preserve"> § </w:t>
      </w:r>
      <w:proofErr w:type="gramStart"/>
      <w:r>
        <w:rPr>
          <w:rFonts w:ascii="Times New Roman" w:hAnsi="Times New Roman" w:cs="Times New Roman"/>
        </w:rPr>
        <w:t>2B1.1(</w:t>
      </w:r>
      <w:proofErr w:type="gramEnd"/>
      <w:r>
        <w:rPr>
          <w:rFonts w:ascii="Times New Roman" w:hAnsi="Times New Roman" w:cs="Times New Roman"/>
        </w:rPr>
        <w:t xml:space="preserve">b)(18)(A)(iii). With respect to his claim about unwarranted disparities, </w:t>
      </w:r>
      <w:proofErr w:type="spellStart"/>
      <w:r>
        <w:rPr>
          <w:rFonts w:ascii="Times New Roman" w:hAnsi="Times New Roman" w:cs="Times New Roman"/>
        </w:rPr>
        <w:t>Moskop</w:t>
      </w:r>
      <w:proofErr w:type="spellEnd"/>
      <w:r>
        <w:rPr>
          <w:rFonts w:ascii="Times New Roman" w:hAnsi="Times New Roman" w:cs="Times New Roman"/>
        </w:rPr>
        <w:t xml:space="preserve"> discussed the </w:t>
      </w:r>
      <w:proofErr w:type="spellStart"/>
      <w:r>
        <w:rPr>
          <w:rFonts w:ascii="Times New Roman" w:hAnsi="Times New Roman" w:cs="Times New Roman"/>
          <w:i/>
          <w:iCs/>
        </w:rPr>
        <w:t>Huelsmann</w:t>
      </w:r>
      <w:proofErr w:type="spellEnd"/>
      <w:r>
        <w:rPr>
          <w:rFonts w:ascii="Times New Roman" w:hAnsi="Times New Roman" w:cs="Times New Roman"/>
        </w:rPr>
        <w:t xml:space="preserve"> case again and also referred to a website called "</w:t>
      </w:r>
      <w:r>
        <w:rPr>
          <w:rFonts w:ascii="Times New Roman" w:hAnsi="Times New Roman" w:cs="Times New Roman"/>
          <w:b/>
          <w:bCs/>
          <w:i/>
          <w:iCs/>
        </w:rPr>
        <w:t>Ponzi</w:t>
      </w:r>
      <w:r>
        <w:rPr>
          <w:rFonts w:ascii="Times New Roman" w:hAnsi="Times New Roman" w:cs="Times New Roman"/>
        </w:rPr>
        <w:t xml:space="preserve"> Tracker." That website, he said, showed that two defendants who o</w:t>
      </w:r>
      <w:r>
        <w:rPr>
          <w:rFonts w:ascii="Times New Roman" w:hAnsi="Times New Roman" w:cs="Times New Roman"/>
        </w:rPr>
        <w:t>p</w:t>
      </w:r>
      <w:r>
        <w:rPr>
          <w:rFonts w:ascii="Times New Roman" w:hAnsi="Times New Roman" w:cs="Times New Roman"/>
        </w:rPr>
        <w:t xml:space="preserve">erated </w:t>
      </w:r>
      <w:r>
        <w:rPr>
          <w:rFonts w:ascii="Times New Roman" w:hAnsi="Times New Roman" w:cs="Times New Roman"/>
          <w:b/>
          <w:bCs/>
          <w:i/>
          <w:iCs/>
        </w:rPr>
        <w:t>Ponzi</w:t>
      </w:r>
      <w:r>
        <w:rPr>
          <w:rFonts w:ascii="Times New Roman" w:hAnsi="Times New Roman" w:cs="Times New Roman"/>
        </w:rPr>
        <w:t xml:space="preserve"> schemes in other states and stole millions more than him recently had received sentences of 10 and 20 years. </w:t>
      </w:r>
      <w:proofErr w:type="spellStart"/>
      <w:r>
        <w:rPr>
          <w:rFonts w:ascii="Times New Roman" w:hAnsi="Times New Roman" w:cs="Times New Roman"/>
        </w:rPr>
        <w:t>Moskop</w:t>
      </w:r>
      <w:proofErr w:type="spellEnd"/>
      <w:r>
        <w:rPr>
          <w:rFonts w:ascii="Times New Roman" w:hAnsi="Times New Roman" w:cs="Times New Roman"/>
        </w:rPr>
        <w:t xml:space="preserve"> urged the district court to review those sentences and "other cases that have been handed down . . . around the country." The government countered by calling more than a dozen of </w:t>
      </w:r>
      <w:proofErr w:type="spellStart"/>
      <w:r>
        <w:rPr>
          <w:rFonts w:ascii="Times New Roman" w:hAnsi="Times New Roman" w:cs="Times New Roman"/>
        </w:rPr>
        <w:t>Moskop's</w:t>
      </w:r>
      <w:proofErr w:type="spellEnd"/>
      <w:r>
        <w:rPr>
          <w:rFonts w:ascii="Times New Roman" w:hAnsi="Times New Roman" w:cs="Times New Roman"/>
        </w:rPr>
        <w:t xml:space="preserve"> victims to testify about the harm he had caused.</w:t>
      </w:r>
    </w:p>
    <w:p w:rsidR="007D5435" w:rsidRDefault="007D5435" w:rsidP="007D5435">
      <w:pPr>
        <w:widowControl/>
        <w:spacing w:before="120"/>
        <w:ind w:firstLine="360"/>
        <w:rPr>
          <w:rFonts w:ascii="Times New Roman" w:hAnsi="Times New Roman" w:cs="Times New Roman"/>
        </w:rPr>
      </w:pPr>
      <w:r>
        <w:rPr>
          <w:rFonts w:ascii="Times New Roman" w:hAnsi="Times New Roman" w:cs="Times New Roman"/>
        </w:rPr>
        <w:t xml:space="preserve">Before announcing </w:t>
      </w:r>
      <w:proofErr w:type="spellStart"/>
      <w:r>
        <w:rPr>
          <w:rFonts w:ascii="Times New Roman" w:hAnsi="Times New Roman" w:cs="Times New Roman"/>
        </w:rPr>
        <w:t>Moskop's</w:t>
      </w:r>
      <w:proofErr w:type="spellEnd"/>
      <w:r>
        <w:rPr>
          <w:rFonts w:ascii="Times New Roman" w:hAnsi="Times New Roman" w:cs="Times New Roman"/>
        </w:rPr>
        <w:t xml:space="preserve"> sentence, the district court engaged in a lengthy </w:t>
      </w:r>
      <w:proofErr w:type="gramStart"/>
      <w:r>
        <w:rPr>
          <w:rFonts w:ascii="Times New Roman" w:hAnsi="Times New Roman" w:cs="Times New Roman"/>
        </w:rPr>
        <w:t>analysis  [</w:t>
      </w:r>
      <w:proofErr w:type="gramEnd"/>
      <w:r>
        <w:rPr>
          <w:rFonts w:ascii="Times New Roman" w:hAnsi="Times New Roman" w:cs="Times New Roman"/>
        </w:rPr>
        <w:t>**6] of the § 3553(a) fa</w:t>
      </w:r>
      <w:r>
        <w:rPr>
          <w:rFonts w:ascii="Times New Roman" w:hAnsi="Times New Roman" w:cs="Times New Roman"/>
        </w:rPr>
        <w:t>c</w:t>
      </w:r>
      <w:r>
        <w:rPr>
          <w:rFonts w:ascii="Times New Roman" w:hAnsi="Times New Roman" w:cs="Times New Roman"/>
        </w:rPr>
        <w:t xml:space="preserve">tors. The court began by noting that </w:t>
      </w:r>
      <w:proofErr w:type="spellStart"/>
      <w:r>
        <w:rPr>
          <w:rFonts w:ascii="Times New Roman" w:hAnsi="Times New Roman" w:cs="Times New Roman"/>
        </w:rPr>
        <w:t>Moskop</w:t>
      </w:r>
      <w:proofErr w:type="spellEnd"/>
      <w:r>
        <w:rPr>
          <w:rFonts w:ascii="Times New Roman" w:hAnsi="Times New Roman" w:cs="Times New Roman"/>
        </w:rPr>
        <w:t xml:space="preserve"> had received a reduction in offense level for acceptance of responsibility and had "clearly expressed heartfelt remorse" after getting caught. The court continued, however, that it was unable to identify any other mitigating factor except that </w:t>
      </w:r>
      <w:proofErr w:type="spellStart"/>
      <w:r>
        <w:rPr>
          <w:rFonts w:ascii="Times New Roman" w:hAnsi="Times New Roman" w:cs="Times New Roman"/>
        </w:rPr>
        <w:t>Moskop</w:t>
      </w:r>
      <w:proofErr w:type="spellEnd"/>
      <w:r>
        <w:rPr>
          <w:rFonts w:ascii="Times New Roman" w:hAnsi="Times New Roman" w:cs="Times New Roman"/>
        </w:rPr>
        <w:t xml:space="preserve"> was a good father. And on the aggravating side, the court said, were a number of factors that gave it "great pause": </w:t>
      </w:r>
      <w:proofErr w:type="spellStart"/>
      <w:r>
        <w:rPr>
          <w:rFonts w:ascii="Times New Roman" w:hAnsi="Times New Roman" w:cs="Times New Roman"/>
        </w:rPr>
        <w:t>Moskop</w:t>
      </w:r>
      <w:proofErr w:type="spellEnd"/>
      <w:r>
        <w:rPr>
          <w:rFonts w:ascii="Times New Roman" w:hAnsi="Times New Roman" w:cs="Times New Roman"/>
        </w:rPr>
        <w:t xml:space="preserve"> had continued his fraud for 20 years, targeted vulnerable clients including the elderly and sick, fabricated a variety of phony documents to lull his victims, and repeatedly set out to take the life savings of victims, leaving "literally nothing" for them and the descendants they intended to assist. After hearing from the victims, the court specifically found that </w:t>
      </w:r>
      <w:proofErr w:type="spellStart"/>
      <w:r>
        <w:rPr>
          <w:rFonts w:ascii="Times New Roman" w:hAnsi="Times New Roman" w:cs="Times New Roman"/>
        </w:rPr>
        <w:t>Moskop</w:t>
      </w:r>
      <w:proofErr w:type="spellEnd"/>
      <w:r>
        <w:rPr>
          <w:rFonts w:ascii="Times New Roman" w:hAnsi="Times New Roman" w:cs="Times New Roman"/>
        </w:rPr>
        <w:t xml:space="preserve"> had stolen from a man dying of cancer and co</w:t>
      </w:r>
      <w:r>
        <w:rPr>
          <w:rFonts w:ascii="Times New Roman" w:hAnsi="Times New Roman" w:cs="Times New Roman"/>
        </w:rPr>
        <w:t>n</w:t>
      </w:r>
      <w:r>
        <w:rPr>
          <w:rFonts w:ascii="Times New Roman" w:hAnsi="Times New Roman" w:cs="Times New Roman"/>
        </w:rPr>
        <w:t xml:space="preserve">vinced a widow living on disability payments to take her deceased husband's pension as a lump sum and give it to him for "investment." The testimony also established, the court added, that </w:t>
      </w:r>
      <w:proofErr w:type="spellStart"/>
      <w:r>
        <w:rPr>
          <w:rFonts w:ascii="Times New Roman" w:hAnsi="Times New Roman" w:cs="Times New Roman"/>
        </w:rPr>
        <w:t>Moskop's</w:t>
      </w:r>
      <w:proofErr w:type="spellEnd"/>
      <w:r>
        <w:rPr>
          <w:rFonts w:ascii="Times New Roman" w:hAnsi="Times New Roman" w:cs="Times New Roman"/>
        </w:rPr>
        <w:t xml:space="preserve"> clients had suffered numerous physical manifestations of emotional harm, and that his uncharged insurance fraud had caused further loss not incorporated  [**7] into his offense level. With respect to </w:t>
      </w:r>
      <w:proofErr w:type="spellStart"/>
      <w:r>
        <w:rPr>
          <w:rFonts w:ascii="Times New Roman" w:hAnsi="Times New Roman" w:cs="Times New Roman"/>
        </w:rPr>
        <w:t>Moskop's</w:t>
      </w:r>
      <w:proofErr w:type="spellEnd"/>
      <w:r>
        <w:rPr>
          <w:rFonts w:ascii="Times New Roman" w:hAnsi="Times New Roman" w:cs="Times New Roman"/>
        </w:rPr>
        <w:t xml:space="preserve"> argument about an unwarranted sentence disparity, the court di</w:t>
      </w:r>
      <w:r>
        <w:rPr>
          <w:rFonts w:ascii="Times New Roman" w:hAnsi="Times New Roman" w:cs="Times New Roman"/>
        </w:rPr>
        <w:t>s</w:t>
      </w:r>
      <w:r>
        <w:rPr>
          <w:rFonts w:ascii="Times New Roman" w:hAnsi="Times New Roman" w:cs="Times New Roman"/>
        </w:rPr>
        <w:t xml:space="preserve">cussed </w:t>
      </w:r>
      <w:proofErr w:type="spellStart"/>
      <w:r>
        <w:rPr>
          <w:rFonts w:ascii="Times New Roman" w:hAnsi="Times New Roman" w:cs="Times New Roman"/>
          <w:i/>
          <w:iCs/>
        </w:rPr>
        <w:t>Huelsmann</w:t>
      </w:r>
      <w:proofErr w:type="spellEnd"/>
      <w:r>
        <w:rPr>
          <w:rFonts w:ascii="Times New Roman" w:hAnsi="Times New Roman" w:cs="Times New Roman"/>
        </w:rPr>
        <w:t xml:space="preserve"> and noted several distinctions: The </w:t>
      </w:r>
      <w:r>
        <w:rPr>
          <w:rFonts w:ascii="Times New Roman" w:hAnsi="Times New Roman" w:cs="Times New Roman"/>
          <w:b/>
          <w:bCs/>
          <w:i/>
          <w:iCs/>
        </w:rPr>
        <w:t>Ponzi</w:t>
      </w:r>
      <w:r>
        <w:rPr>
          <w:rFonts w:ascii="Times New Roman" w:hAnsi="Times New Roman" w:cs="Times New Roman"/>
        </w:rPr>
        <w:t xml:space="preserve"> scheme in that case had lasted only 3 years, the guidelines range was only 70 to 87 months, and the defendant made lulling payments of just $153,000 and did not create false documents to further deceive his victims. Finally, the court found that </w:t>
      </w:r>
      <w:proofErr w:type="spellStart"/>
      <w:r>
        <w:rPr>
          <w:rFonts w:ascii="Times New Roman" w:hAnsi="Times New Roman" w:cs="Times New Roman"/>
        </w:rPr>
        <w:t>Moskop's</w:t>
      </w:r>
      <w:proofErr w:type="spellEnd"/>
      <w:r>
        <w:rPr>
          <w:rFonts w:ascii="Times New Roman" w:hAnsi="Times New Roman" w:cs="Times New Roman"/>
        </w:rPr>
        <w:t xml:space="preserve"> risk of recidivism is "extraordinarily high" because he continued breaking the law for 20 years after experiencing a "slap on the wrist" when he lost his l</w:t>
      </w:r>
      <w:r>
        <w:rPr>
          <w:rFonts w:ascii="Times New Roman" w:hAnsi="Times New Roman" w:cs="Times New Roman"/>
        </w:rPr>
        <w:t>i</w:t>
      </w:r>
      <w:r>
        <w:rPr>
          <w:rFonts w:ascii="Times New Roman" w:hAnsi="Times New Roman" w:cs="Times New Roman"/>
        </w:rPr>
        <w:t xml:space="preserve">cense to sell securities. The court sentenced </w:t>
      </w:r>
      <w:proofErr w:type="spellStart"/>
      <w:r>
        <w:rPr>
          <w:rFonts w:ascii="Times New Roman" w:hAnsi="Times New Roman" w:cs="Times New Roman"/>
        </w:rPr>
        <w:t>Moskop</w:t>
      </w:r>
      <w:proofErr w:type="spellEnd"/>
      <w:r>
        <w:rPr>
          <w:rFonts w:ascii="Times New Roman" w:hAnsi="Times New Roman" w:cs="Times New Roman"/>
        </w:rPr>
        <w:t xml:space="preserve"> to a total of 20 years--20 years for mail fraud and 10 years for money laundering, to run concurrently--and imposed $1.49 million in restitution.</w:t>
      </w:r>
    </w:p>
    <w:p w:rsidR="007D5435" w:rsidRDefault="007D5435" w:rsidP="007D5435">
      <w:pPr>
        <w:widowControl/>
        <w:spacing w:before="120"/>
        <w:ind w:firstLine="360"/>
        <w:rPr>
          <w:rFonts w:ascii="Times New Roman" w:hAnsi="Times New Roman" w:cs="Times New Roman"/>
        </w:rPr>
      </w:pPr>
      <w:r>
        <w:rPr>
          <w:rFonts w:ascii="Times New Roman" w:hAnsi="Times New Roman" w:cs="Times New Roman"/>
        </w:rPr>
        <w:t xml:space="preserve">On appeal </w:t>
      </w:r>
      <w:proofErr w:type="spellStart"/>
      <w:r>
        <w:rPr>
          <w:rFonts w:ascii="Times New Roman" w:hAnsi="Times New Roman" w:cs="Times New Roman"/>
        </w:rPr>
        <w:t>Moskop</w:t>
      </w:r>
      <w:proofErr w:type="spellEnd"/>
      <w:r>
        <w:rPr>
          <w:rFonts w:ascii="Times New Roman" w:hAnsi="Times New Roman" w:cs="Times New Roman"/>
        </w:rPr>
        <w:t xml:space="preserve"> argues that the district court committed procedural error by failing to address four "principal, non-frivolous arguments" in mitigation: his contention that an above-range sentence would create an unwarranted se</w:t>
      </w:r>
      <w:r>
        <w:rPr>
          <w:rFonts w:ascii="Times New Roman" w:hAnsi="Times New Roman" w:cs="Times New Roman"/>
        </w:rPr>
        <w:t>n</w:t>
      </w:r>
      <w:r>
        <w:rPr>
          <w:rFonts w:ascii="Times New Roman" w:hAnsi="Times New Roman" w:cs="Times New Roman"/>
        </w:rPr>
        <w:t xml:space="preserve">tence disparity, </w:t>
      </w:r>
      <w:r>
        <w:rPr>
          <w:rFonts w:ascii="Times New Roman" w:hAnsi="Times New Roman" w:cs="Times New Roman"/>
          <w:i/>
          <w:iCs/>
        </w:rPr>
        <w:t>see</w:t>
      </w:r>
      <w:r>
        <w:rPr>
          <w:rFonts w:ascii="Times New Roman" w:hAnsi="Times New Roman" w:cs="Times New Roman"/>
        </w:rPr>
        <w:t xml:space="preserve"> 18 </w:t>
      </w:r>
      <w:proofErr w:type="spellStart"/>
      <w:r>
        <w:rPr>
          <w:rFonts w:ascii="Times New Roman" w:hAnsi="Times New Roman" w:cs="Times New Roman"/>
        </w:rPr>
        <w:t>U.S.C.</w:t>
      </w:r>
      <w:proofErr w:type="spellEnd"/>
      <w:r>
        <w:rPr>
          <w:rFonts w:ascii="Times New Roman" w:hAnsi="Times New Roman" w:cs="Times New Roman"/>
        </w:rPr>
        <w:t xml:space="preserve"> § 3553(a</w:t>
      </w:r>
      <w:proofErr w:type="gramStart"/>
      <w:r>
        <w:rPr>
          <w:rFonts w:ascii="Times New Roman" w:hAnsi="Times New Roman" w:cs="Times New Roman"/>
        </w:rPr>
        <w:t>)(</w:t>
      </w:r>
      <w:proofErr w:type="gramEnd"/>
      <w:r>
        <w:rPr>
          <w:rFonts w:ascii="Times New Roman" w:hAnsi="Times New Roman" w:cs="Times New Roman"/>
        </w:rPr>
        <w:t xml:space="preserve">6); his insistence that he provided "extraordinary cooperation" after his scheme was uncovered; his argument that a within-guidelines sentence was necessary  [**8] to allow him to pay restitution, </w:t>
      </w:r>
      <w:r>
        <w:rPr>
          <w:rFonts w:ascii="Times New Roman" w:hAnsi="Times New Roman" w:cs="Times New Roman"/>
          <w:i/>
          <w:iCs/>
        </w:rPr>
        <w:t>see id.</w:t>
      </w:r>
      <w:r>
        <w:rPr>
          <w:rFonts w:ascii="Times New Roman" w:hAnsi="Times New Roman" w:cs="Times New Roman"/>
        </w:rPr>
        <w:t xml:space="preserve"> § 3553(a</w:t>
      </w:r>
      <w:proofErr w:type="gramStart"/>
      <w:r>
        <w:rPr>
          <w:rFonts w:ascii="Times New Roman" w:hAnsi="Times New Roman" w:cs="Times New Roman"/>
        </w:rPr>
        <w:t>)(</w:t>
      </w:r>
      <w:proofErr w:type="gramEnd"/>
      <w:r>
        <w:rPr>
          <w:rFonts w:ascii="Times New Roman" w:hAnsi="Times New Roman" w:cs="Times New Roman"/>
        </w:rPr>
        <w:t>7); and his contention that the government's list of  [*596]  aggravating factors already were accounted for in the guidelines range. We reject this characterization of the sentencing hearing.</w:t>
      </w:r>
    </w:p>
    <w:p w:rsidR="007D5435" w:rsidRDefault="007D5435" w:rsidP="007D5435">
      <w:pPr>
        <w:widowControl/>
        <w:spacing w:before="120"/>
        <w:ind w:firstLine="360"/>
        <w:rPr>
          <w:rFonts w:ascii="Times New Roman" w:hAnsi="Times New Roman" w:cs="Times New Roman"/>
        </w:rPr>
      </w:pPr>
      <w:r>
        <w:rPr>
          <w:rFonts w:ascii="Times New Roman" w:hAnsi="Times New Roman" w:cs="Times New Roman"/>
        </w:rPr>
        <w:t xml:space="preserve">To begin, the district court squarely addressed </w:t>
      </w:r>
      <w:proofErr w:type="spellStart"/>
      <w:r>
        <w:rPr>
          <w:rFonts w:ascii="Times New Roman" w:hAnsi="Times New Roman" w:cs="Times New Roman"/>
        </w:rPr>
        <w:t>Moskop's</w:t>
      </w:r>
      <w:proofErr w:type="spellEnd"/>
      <w:r>
        <w:rPr>
          <w:rFonts w:ascii="Times New Roman" w:hAnsi="Times New Roman" w:cs="Times New Roman"/>
        </w:rPr>
        <w:t xml:space="preserve"> argument about § 3553(a</w:t>
      </w:r>
      <w:proofErr w:type="gramStart"/>
      <w:r>
        <w:rPr>
          <w:rFonts w:ascii="Times New Roman" w:hAnsi="Times New Roman" w:cs="Times New Roman"/>
        </w:rPr>
        <w:t>)(</w:t>
      </w:r>
      <w:proofErr w:type="gramEnd"/>
      <w:r>
        <w:rPr>
          <w:rFonts w:ascii="Times New Roman" w:hAnsi="Times New Roman" w:cs="Times New Roman"/>
        </w:rPr>
        <w:t xml:space="preserve">6) and noted the many differences between his case and </w:t>
      </w:r>
      <w:proofErr w:type="spellStart"/>
      <w:r>
        <w:rPr>
          <w:rFonts w:ascii="Times New Roman" w:hAnsi="Times New Roman" w:cs="Times New Roman"/>
          <w:i/>
          <w:iCs/>
        </w:rPr>
        <w:t>Huelsmann</w:t>
      </w:r>
      <w:proofErr w:type="spellEnd"/>
      <w:r>
        <w:rPr>
          <w:rFonts w:ascii="Times New Roman" w:hAnsi="Times New Roman" w:cs="Times New Roman"/>
          <w:i/>
          <w:iCs/>
        </w:rPr>
        <w:t>.</w:t>
      </w:r>
      <w:r>
        <w:rPr>
          <w:rFonts w:ascii="Times New Roman" w:hAnsi="Times New Roman" w:cs="Times New Roman"/>
        </w:rPr>
        <w:t xml:space="preserve"> </w:t>
      </w:r>
      <w:proofErr w:type="spellStart"/>
      <w:r>
        <w:rPr>
          <w:rFonts w:ascii="Times New Roman" w:hAnsi="Times New Roman" w:cs="Times New Roman"/>
        </w:rPr>
        <w:t>Moskop</w:t>
      </w:r>
      <w:proofErr w:type="spellEnd"/>
      <w:r>
        <w:rPr>
          <w:rFonts w:ascii="Times New Roman" w:hAnsi="Times New Roman" w:cs="Times New Roman"/>
        </w:rPr>
        <w:t xml:space="preserve"> complains that the court "failed to understand the point of the arg</w:t>
      </w:r>
      <w:r>
        <w:rPr>
          <w:rFonts w:ascii="Times New Roman" w:hAnsi="Times New Roman" w:cs="Times New Roman"/>
        </w:rPr>
        <w:t>u</w:t>
      </w:r>
      <w:r>
        <w:rPr>
          <w:rFonts w:ascii="Times New Roman" w:hAnsi="Times New Roman" w:cs="Times New Roman"/>
        </w:rPr>
        <w:t xml:space="preserve">ment regarding </w:t>
      </w:r>
      <w:proofErr w:type="spellStart"/>
      <w:r>
        <w:rPr>
          <w:rFonts w:ascii="Times New Roman" w:hAnsi="Times New Roman" w:cs="Times New Roman"/>
          <w:i/>
          <w:iCs/>
        </w:rPr>
        <w:t>Huelsmann</w:t>
      </w:r>
      <w:proofErr w:type="spellEnd"/>
      <w:r>
        <w:rPr>
          <w:rFonts w:ascii="Times New Roman" w:hAnsi="Times New Roman" w:cs="Times New Roman"/>
          <w:i/>
          <w:iCs/>
        </w:rPr>
        <w:t>,</w:t>
      </w:r>
      <w:r>
        <w:rPr>
          <w:rFonts w:ascii="Times New Roman" w:hAnsi="Times New Roman" w:cs="Times New Roman"/>
        </w:rPr>
        <w:t xml:space="preserve">" but the point was clear: </w:t>
      </w:r>
      <w:proofErr w:type="spellStart"/>
      <w:r>
        <w:rPr>
          <w:rFonts w:ascii="Times New Roman" w:hAnsi="Times New Roman" w:cs="Times New Roman"/>
        </w:rPr>
        <w:t>Moskop</w:t>
      </w:r>
      <w:proofErr w:type="spellEnd"/>
      <w:r>
        <w:rPr>
          <w:rFonts w:ascii="Times New Roman" w:hAnsi="Times New Roman" w:cs="Times New Roman"/>
        </w:rPr>
        <w:t xml:space="preserve"> tried to argue that his case was comparable, and the court disagreed. </w:t>
      </w:r>
      <w:proofErr w:type="spellStart"/>
      <w:r>
        <w:rPr>
          <w:rFonts w:ascii="Times New Roman" w:hAnsi="Times New Roman" w:cs="Times New Roman"/>
        </w:rPr>
        <w:t>Moskop</w:t>
      </w:r>
      <w:proofErr w:type="spellEnd"/>
      <w:r>
        <w:rPr>
          <w:rFonts w:ascii="Times New Roman" w:hAnsi="Times New Roman" w:cs="Times New Roman"/>
        </w:rPr>
        <w:t xml:space="preserve"> also contends that the court failed to address the "remainder" of his § 3553(a</w:t>
      </w:r>
      <w:proofErr w:type="gramStart"/>
      <w:r>
        <w:rPr>
          <w:rFonts w:ascii="Times New Roman" w:hAnsi="Times New Roman" w:cs="Times New Roman"/>
        </w:rPr>
        <w:t>)(</w:t>
      </w:r>
      <w:proofErr w:type="gramEnd"/>
      <w:r>
        <w:rPr>
          <w:rFonts w:ascii="Times New Roman" w:hAnsi="Times New Roman" w:cs="Times New Roman"/>
        </w:rPr>
        <w:t>6) argument, appa</w:t>
      </w:r>
      <w:r>
        <w:rPr>
          <w:rFonts w:ascii="Times New Roman" w:hAnsi="Times New Roman" w:cs="Times New Roman"/>
        </w:rPr>
        <w:t>r</w:t>
      </w:r>
      <w:r>
        <w:rPr>
          <w:rFonts w:ascii="Times New Roman" w:hAnsi="Times New Roman" w:cs="Times New Roman"/>
        </w:rPr>
        <w:t>ently a reference to the "</w:t>
      </w:r>
      <w:r>
        <w:rPr>
          <w:rFonts w:ascii="Times New Roman" w:hAnsi="Times New Roman" w:cs="Times New Roman"/>
          <w:b/>
          <w:bCs/>
          <w:i/>
          <w:iCs/>
        </w:rPr>
        <w:t>Ponzi</w:t>
      </w:r>
      <w:r>
        <w:rPr>
          <w:rFonts w:ascii="Times New Roman" w:hAnsi="Times New Roman" w:cs="Times New Roman"/>
        </w:rPr>
        <w:t xml:space="preserve"> Tracker" website and his effort to distinguish other </w:t>
      </w:r>
      <w:r>
        <w:rPr>
          <w:rFonts w:ascii="Times New Roman" w:hAnsi="Times New Roman" w:cs="Times New Roman"/>
          <w:b/>
          <w:bCs/>
          <w:i/>
          <w:iCs/>
        </w:rPr>
        <w:t>Ponzi</w:t>
      </w:r>
      <w:r>
        <w:rPr>
          <w:rFonts w:ascii="Times New Roman" w:hAnsi="Times New Roman" w:cs="Times New Roman"/>
        </w:rPr>
        <w:t xml:space="preserve"> schemes cited by the gover</w:t>
      </w:r>
      <w:r>
        <w:rPr>
          <w:rFonts w:ascii="Times New Roman" w:hAnsi="Times New Roman" w:cs="Times New Roman"/>
        </w:rPr>
        <w:t>n</w:t>
      </w:r>
      <w:r>
        <w:rPr>
          <w:rFonts w:ascii="Times New Roman" w:hAnsi="Times New Roman" w:cs="Times New Roman"/>
        </w:rPr>
        <w:t xml:space="preserve">ment. But district courts need not respond to arguments that lack factual foundation, </w:t>
      </w:r>
      <w:r>
        <w:rPr>
          <w:rFonts w:ascii="Times New Roman" w:hAnsi="Times New Roman" w:cs="Times New Roman"/>
          <w:i/>
          <w:iCs/>
        </w:rPr>
        <w:t>United States v. Chapman,</w:t>
      </w:r>
      <w:r>
        <w:rPr>
          <w:rFonts w:ascii="Times New Roman" w:hAnsi="Times New Roman" w:cs="Times New Roman"/>
        </w:rPr>
        <w:t xml:space="preserve"> 694 F.3d 908, 913-14 (7th Cir. 2012); </w:t>
      </w:r>
      <w:r>
        <w:rPr>
          <w:rFonts w:ascii="Times New Roman" w:hAnsi="Times New Roman" w:cs="Times New Roman"/>
          <w:i/>
          <w:iCs/>
        </w:rPr>
        <w:t>United States v. Ramirez,</w:t>
      </w:r>
      <w:r>
        <w:rPr>
          <w:rFonts w:ascii="Times New Roman" w:hAnsi="Times New Roman" w:cs="Times New Roman"/>
        </w:rPr>
        <w:t xml:space="preserve"> 675 F.3d 634, 641 (7th Cir. 2011); </w:t>
      </w:r>
      <w:r>
        <w:rPr>
          <w:rFonts w:ascii="Times New Roman" w:hAnsi="Times New Roman" w:cs="Times New Roman"/>
          <w:i/>
          <w:iCs/>
        </w:rPr>
        <w:t>United States v. Diaz,</w:t>
      </w:r>
      <w:r>
        <w:rPr>
          <w:rFonts w:ascii="Times New Roman" w:hAnsi="Times New Roman" w:cs="Times New Roman"/>
        </w:rPr>
        <w:t xml:space="preserve"> 533 F.3d 574, 578 (7th Cir. 2008); </w:t>
      </w:r>
      <w:r>
        <w:rPr>
          <w:rFonts w:ascii="Times New Roman" w:hAnsi="Times New Roman" w:cs="Times New Roman"/>
          <w:i/>
          <w:iCs/>
        </w:rPr>
        <w:t xml:space="preserve">United States v. </w:t>
      </w:r>
      <w:proofErr w:type="spellStart"/>
      <w:r>
        <w:rPr>
          <w:rFonts w:ascii="Times New Roman" w:hAnsi="Times New Roman" w:cs="Times New Roman"/>
          <w:i/>
          <w:iCs/>
        </w:rPr>
        <w:t>Tahzib</w:t>
      </w:r>
      <w:proofErr w:type="spellEnd"/>
      <w:r>
        <w:rPr>
          <w:rFonts w:ascii="Times New Roman" w:hAnsi="Times New Roman" w:cs="Times New Roman"/>
          <w:i/>
          <w:iCs/>
        </w:rPr>
        <w:t>,</w:t>
      </w:r>
      <w:r>
        <w:rPr>
          <w:rFonts w:ascii="Times New Roman" w:hAnsi="Times New Roman" w:cs="Times New Roman"/>
        </w:rPr>
        <w:t xml:space="preserve"> 513 F.3d 692, 694-95 (7th Cir. 2008); </w:t>
      </w:r>
      <w:r>
        <w:rPr>
          <w:rFonts w:ascii="Times New Roman" w:hAnsi="Times New Roman" w:cs="Times New Roman"/>
          <w:i/>
          <w:iCs/>
        </w:rPr>
        <w:t xml:space="preserve">United States v. </w:t>
      </w:r>
      <w:proofErr w:type="spellStart"/>
      <w:r>
        <w:rPr>
          <w:rFonts w:ascii="Times New Roman" w:hAnsi="Times New Roman" w:cs="Times New Roman"/>
          <w:i/>
          <w:iCs/>
        </w:rPr>
        <w:t>Beier</w:t>
      </w:r>
      <w:proofErr w:type="spellEnd"/>
      <w:r>
        <w:rPr>
          <w:rFonts w:ascii="Times New Roman" w:hAnsi="Times New Roman" w:cs="Times New Roman"/>
          <w:i/>
          <w:iCs/>
        </w:rPr>
        <w:t>,</w:t>
      </w:r>
      <w:r>
        <w:rPr>
          <w:rFonts w:ascii="Times New Roman" w:hAnsi="Times New Roman" w:cs="Times New Roman"/>
        </w:rPr>
        <w:t xml:space="preserve"> 490 F.3d 572, 574 (7th Cir. 2007),  [**9] and </w:t>
      </w:r>
      <w:proofErr w:type="spellStart"/>
      <w:r>
        <w:rPr>
          <w:rFonts w:ascii="Times New Roman" w:hAnsi="Times New Roman" w:cs="Times New Roman"/>
        </w:rPr>
        <w:t>Moskop's</w:t>
      </w:r>
      <w:proofErr w:type="spellEnd"/>
      <w:r>
        <w:rPr>
          <w:rFonts w:ascii="Times New Roman" w:hAnsi="Times New Roman" w:cs="Times New Roman"/>
        </w:rPr>
        <w:t xml:space="preserve"> brief references to unnamed, </w:t>
      </w:r>
      <w:proofErr w:type="spellStart"/>
      <w:r>
        <w:rPr>
          <w:rFonts w:ascii="Times New Roman" w:hAnsi="Times New Roman" w:cs="Times New Roman"/>
        </w:rPr>
        <w:t>undescribed</w:t>
      </w:r>
      <w:proofErr w:type="spellEnd"/>
      <w:r>
        <w:rPr>
          <w:rFonts w:ascii="Times New Roman" w:hAnsi="Times New Roman" w:cs="Times New Roman"/>
        </w:rPr>
        <w:t xml:space="preserve"> cases reported on a website, the content of which he never made available, did not give the district judge a factual foundation to conclude that the court's contemplated sentence would create a disparity with sentences given to other defendants with similar records who engaged in similar conduct, </w:t>
      </w:r>
      <w:r>
        <w:rPr>
          <w:rFonts w:ascii="Times New Roman" w:hAnsi="Times New Roman" w:cs="Times New Roman"/>
          <w:i/>
          <w:iCs/>
        </w:rPr>
        <w:t>see</w:t>
      </w:r>
      <w:r>
        <w:rPr>
          <w:rFonts w:ascii="Times New Roman" w:hAnsi="Times New Roman" w:cs="Times New Roman"/>
        </w:rPr>
        <w:t xml:space="preserve"> 18 </w:t>
      </w:r>
      <w:proofErr w:type="spellStart"/>
      <w:r>
        <w:rPr>
          <w:rFonts w:ascii="Times New Roman" w:hAnsi="Times New Roman" w:cs="Times New Roman"/>
        </w:rPr>
        <w:t>U.S.C.</w:t>
      </w:r>
      <w:proofErr w:type="spellEnd"/>
      <w:r>
        <w:rPr>
          <w:rFonts w:ascii="Times New Roman" w:hAnsi="Times New Roman" w:cs="Times New Roman"/>
        </w:rPr>
        <w:t xml:space="preserve"> § 3553(a)(6). For that same reason, there was no need for the court to comment on </w:t>
      </w:r>
      <w:proofErr w:type="spellStart"/>
      <w:r>
        <w:rPr>
          <w:rFonts w:ascii="Times New Roman" w:hAnsi="Times New Roman" w:cs="Times New Roman"/>
        </w:rPr>
        <w:t>Moskop's</w:t>
      </w:r>
      <w:proofErr w:type="spellEnd"/>
      <w:r>
        <w:rPr>
          <w:rFonts w:ascii="Times New Roman" w:hAnsi="Times New Roman" w:cs="Times New Roman"/>
        </w:rPr>
        <w:t xml:space="preserve"> assessment of the cases the government said were comparable, since even if they were not, the court still would have been left without a benchmark to compare with </w:t>
      </w:r>
      <w:proofErr w:type="spellStart"/>
      <w:r>
        <w:rPr>
          <w:rFonts w:ascii="Times New Roman" w:hAnsi="Times New Roman" w:cs="Times New Roman"/>
        </w:rPr>
        <w:t>Moskop's</w:t>
      </w:r>
      <w:proofErr w:type="spellEnd"/>
      <w:r>
        <w:rPr>
          <w:rFonts w:ascii="Times New Roman" w:hAnsi="Times New Roman" w:cs="Times New Roman"/>
        </w:rPr>
        <w:t xml:space="preserve"> prison sentence.</w:t>
      </w:r>
    </w:p>
    <w:p w:rsidR="007D5435" w:rsidRDefault="007D5435" w:rsidP="007D5435">
      <w:pPr>
        <w:widowControl/>
        <w:spacing w:before="120"/>
        <w:ind w:firstLine="360"/>
        <w:rPr>
          <w:rFonts w:ascii="Times New Roman" w:hAnsi="Times New Roman" w:cs="Times New Roman"/>
        </w:rPr>
      </w:pPr>
      <w:r>
        <w:rPr>
          <w:rFonts w:ascii="Times New Roman" w:hAnsi="Times New Roman" w:cs="Times New Roman"/>
        </w:rPr>
        <w:t xml:space="preserve">The district court also responded to </w:t>
      </w:r>
      <w:proofErr w:type="spellStart"/>
      <w:r>
        <w:rPr>
          <w:rFonts w:ascii="Times New Roman" w:hAnsi="Times New Roman" w:cs="Times New Roman"/>
        </w:rPr>
        <w:t>Moskop's</w:t>
      </w:r>
      <w:proofErr w:type="spellEnd"/>
      <w:r>
        <w:rPr>
          <w:rFonts w:ascii="Times New Roman" w:hAnsi="Times New Roman" w:cs="Times New Roman"/>
        </w:rPr>
        <w:t xml:space="preserve"> argument that his help to investigators warranted a lower sentence. At the beginning of its discussion, the court agreed that </w:t>
      </w:r>
      <w:proofErr w:type="spellStart"/>
      <w:r>
        <w:rPr>
          <w:rFonts w:ascii="Times New Roman" w:hAnsi="Times New Roman" w:cs="Times New Roman"/>
        </w:rPr>
        <w:t>Moskop</w:t>
      </w:r>
      <w:proofErr w:type="spellEnd"/>
      <w:r>
        <w:rPr>
          <w:rFonts w:ascii="Times New Roman" w:hAnsi="Times New Roman" w:cs="Times New Roman"/>
        </w:rPr>
        <w:t xml:space="preserve"> had "expressed heartfelt remorse" after he got caught, but the judge decided that abundant aggravating factors still required an above-range sentence. This response from the court was more than enough, since arguments about acceptance of responsibility, which defendants make at sentencing as a matter of course, are "stock" contentions that can be rejected without comment. </w:t>
      </w:r>
      <w:proofErr w:type="spellStart"/>
      <w:r>
        <w:rPr>
          <w:rFonts w:ascii="Times New Roman" w:hAnsi="Times New Roman" w:cs="Times New Roman"/>
          <w:i/>
          <w:iCs/>
        </w:rPr>
        <w:t>Tahzib</w:t>
      </w:r>
      <w:proofErr w:type="spellEnd"/>
      <w:r>
        <w:rPr>
          <w:rFonts w:ascii="Times New Roman" w:hAnsi="Times New Roman" w:cs="Times New Roman"/>
          <w:i/>
          <w:iCs/>
        </w:rPr>
        <w:t>,</w:t>
      </w:r>
      <w:r>
        <w:rPr>
          <w:rFonts w:ascii="Times New Roman" w:hAnsi="Times New Roman" w:cs="Times New Roman"/>
        </w:rPr>
        <w:t xml:space="preserve"> </w:t>
      </w:r>
      <w:proofErr w:type="gramStart"/>
      <w:r>
        <w:rPr>
          <w:rFonts w:ascii="Times New Roman" w:hAnsi="Times New Roman" w:cs="Times New Roman"/>
        </w:rPr>
        <w:t>513 F.3d at 695</w:t>
      </w:r>
      <w:proofErr w:type="gramEnd"/>
      <w:r>
        <w:rPr>
          <w:rFonts w:ascii="Times New Roman" w:hAnsi="Times New Roman" w:cs="Times New Roman"/>
        </w:rPr>
        <w:t>.</w:t>
      </w:r>
    </w:p>
    <w:p w:rsidR="007D5435" w:rsidRDefault="007D5435" w:rsidP="007D5435">
      <w:pPr>
        <w:widowControl/>
        <w:spacing w:before="120"/>
        <w:ind w:firstLine="360"/>
        <w:rPr>
          <w:rFonts w:ascii="Times New Roman" w:hAnsi="Times New Roman" w:cs="Times New Roman"/>
        </w:rPr>
      </w:pPr>
      <w:r>
        <w:rPr>
          <w:rFonts w:ascii="Times New Roman" w:hAnsi="Times New Roman" w:cs="Times New Roman"/>
        </w:rPr>
        <w:t xml:space="preserve">The  [**10] district court did not discuss </w:t>
      </w:r>
      <w:proofErr w:type="spellStart"/>
      <w:r>
        <w:rPr>
          <w:rFonts w:ascii="Times New Roman" w:hAnsi="Times New Roman" w:cs="Times New Roman"/>
        </w:rPr>
        <w:t>Moskop's</w:t>
      </w:r>
      <w:proofErr w:type="spellEnd"/>
      <w:r>
        <w:rPr>
          <w:rFonts w:ascii="Times New Roman" w:hAnsi="Times New Roman" w:cs="Times New Roman"/>
        </w:rPr>
        <w:t xml:space="preserve"> remaining points about restitution and the government's proposed aggravating factors, but for several reasons no response was needed. First, neither can be characterized as an a</w:t>
      </w:r>
      <w:r>
        <w:rPr>
          <w:rFonts w:ascii="Times New Roman" w:hAnsi="Times New Roman" w:cs="Times New Roman"/>
        </w:rPr>
        <w:t>r</w:t>
      </w:r>
      <w:r>
        <w:rPr>
          <w:rFonts w:ascii="Times New Roman" w:hAnsi="Times New Roman" w:cs="Times New Roman"/>
        </w:rPr>
        <w:t xml:space="preserve">gument in </w:t>
      </w:r>
      <w:r>
        <w:rPr>
          <w:rFonts w:ascii="Times New Roman" w:hAnsi="Times New Roman" w:cs="Times New Roman"/>
          <w:i/>
          <w:iCs/>
        </w:rPr>
        <w:t>mitigation.</w:t>
      </w:r>
      <w:r>
        <w:rPr>
          <w:rFonts w:ascii="Times New Roman" w:hAnsi="Times New Roman" w:cs="Times New Roman"/>
        </w:rPr>
        <w:t xml:space="preserve"> These are not unique characteristics of the defendant or his crime that possibly could warrant a lower sentence. </w:t>
      </w:r>
      <w:r>
        <w:rPr>
          <w:rFonts w:ascii="Times New Roman" w:hAnsi="Times New Roman" w:cs="Times New Roman"/>
          <w:i/>
          <w:iCs/>
        </w:rPr>
        <w:t>See, e.g., United States v. Ramirez-Mendoza,</w:t>
      </w:r>
      <w:r>
        <w:rPr>
          <w:rFonts w:ascii="Times New Roman" w:hAnsi="Times New Roman" w:cs="Times New Roman"/>
        </w:rPr>
        <w:t xml:space="preserve"> 683 F.3d 771, 775-76 (7th Cir. 2012) (remanding for resentencing because district court did not address argument that defendant had been coerced into participating in kidna</w:t>
      </w:r>
      <w:r>
        <w:rPr>
          <w:rFonts w:ascii="Times New Roman" w:hAnsi="Times New Roman" w:cs="Times New Roman"/>
        </w:rPr>
        <w:t>p</w:t>
      </w:r>
      <w:r>
        <w:rPr>
          <w:rFonts w:ascii="Times New Roman" w:hAnsi="Times New Roman" w:cs="Times New Roman"/>
        </w:rPr>
        <w:t xml:space="preserve">ping); </w:t>
      </w:r>
      <w:r>
        <w:rPr>
          <w:rFonts w:ascii="Times New Roman" w:hAnsi="Times New Roman" w:cs="Times New Roman"/>
          <w:i/>
          <w:iCs/>
        </w:rPr>
        <w:t>United States v. Robertson,</w:t>
      </w:r>
      <w:r>
        <w:rPr>
          <w:rFonts w:ascii="Times New Roman" w:hAnsi="Times New Roman" w:cs="Times New Roman"/>
        </w:rPr>
        <w:t xml:space="preserve"> 662 F.3d 871, 878-80 (7th Cir. 2011) (court did not address substantial evidence of defendant's genuine rehabilitation); </w:t>
      </w:r>
      <w:r>
        <w:rPr>
          <w:rFonts w:ascii="Times New Roman" w:hAnsi="Times New Roman" w:cs="Times New Roman"/>
          <w:i/>
          <w:iCs/>
        </w:rPr>
        <w:t>United States v. Harris,</w:t>
      </w:r>
      <w:r>
        <w:rPr>
          <w:rFonts w:ascii="Times New Roman" w:hAnsi="Times New Roman" w:cs="Times New Roman"/>
        </w:rPr>
        <w:t xml:space="preserve"> 567 F.3d 846, 854-55 (7th Cir. 2009) (defendant's signif</w:t>
      </w:r>
      <w:r>
        <w:rPr>
          <w:rFonts w:ascii="Times New Roman" w:hAnsi="Times New Roman" w:cs="Times New Roman"/>
        </w:rPr>
        <w:t>i</w:t>
      </w:r>
      <w:r>
        <w:rPr>
          <w:rFonts w:ascii="Times New Roman" w:hAnsi="Times New Roman" w:cs="Times New Roman"/>
        </w:rPr>
        <w:t xml:space="preserve">cant health problems); </w:t>
      </w:r>
      <w:r>
        <w:rPr>
          <w:rFonts w:ascii="Times New Roman" w:hAnsi="Times New Roman" w:cs="Times New Roman"/>
          <w:i/>
          <w:iCs/>
        </w:rPr>
        <w:t>United States v. Schroeder,</w:t>
      </w:r>
      <w:r>
        <w:rPr>
          <w:rFonts w:ascii="Times New Roman" w:hAnsi="Times New Roman" w:cs="Times New Roman"/>
        </w:rPr>
        <w:t xml:space="preserve"> 536 F.3d 746, 755-56 (7th Cir. 2008) (defendant's extraordinary fa</w:t>
      </w:r>
      <w:r>
        <w:rPr>
          <w:rFonts w:ascii="Times New Roman" w:hAnsi="Times New Roman" w:cs="Times New Roman"/>
        </w:rPr>
        <w:t>m</w:t>
      </w:r>
      <w:r>
        <w:rPr>
          <w:rFonts w:ascii="Times New Roman" w:hAnsi="Times New Roman" w:cs="Times New Roman"/>
        </w:rPr>
        <w:t xml:space="preserve">ily circumstances); </w:t>
      </w:r>
      <w:r>
        <w:rPr>
          <w:rFonts w:ascii="Times New Roman" w:hAnsi="Times New Roman" w:cs="Times New Roman"/>
          <w:i/>
          <w:iCs/>
        </w:rPr>
        <w:t>United States v. Miranda,</w:t>
      </w:r>
      <w:r>
        <w:rPr>
          <w:rFonts w:ascii="Times New Roman" w:hAnsi="Times New Roman" w:cs="Times New Roman"/>
        </w:rPr>
        <w:t xml:space="preserve"> 505 F.3d 785, 792-94 (7th Cir. 2007) (defendant's mental illness). The gist of </w:t>
      </w:r>
      <w:proofErr w:type="spellStart"/>
      <w:r>
        <w:rPr>
          <w:rFonts w:ascii="Times New Roman" w:hAnsi="Times New Roman" w:cs="Times New Roman"/>
        </w:rPr>
        <w:t>Moskop's</w:t>
      </w:r>
      <w:proofErr w:type="spellEnd"/>
      <w:r>
        <w:rPr>
          <w:rFonts w:ascii="Times New Roman" w:hAnsi="Times New Roman" w:cs="Times New Roman"/>
        </w:rPr>
        <w:t xml:space="preserve"> restitution argument is that he perpetuated his scheme successfully for so long that now, because of his age, his victims will have no shot  [**11] at getting restitution if he is required to serve a significant prison term. That co</w:t>
      </w:r>
      <w:r>
        <w:rPr>
          <w:rFonts w:ascii="Times New Roman" w:hAnsi="Times New Roman" w:cs="Times New Roman"/>
        </w:rPr>
        <w:t>n</w:t>
      </w:r>
      <w:r>
        <w:rPr>
          <w:rFonts w:ascii="Times New Roman" w:hAnsi="Times New Roman" w:cs="Times New Roman"/>
        </w:rPr>
        <w:t>tention, which does not remotely resemble a factor in mitigation</w:t>
      </w:r>
      <w:proofErr w:type="gramStart"/>
      <w:r>
        <w:rPr>
          <w:rFonts w:ascii="Times New Roman" w:hAnsi="Times New Roman" w:cs="Times New Roman"/>
        </w:rPr>
        <w:t>,  [</w:t>
      </w:r>
      <w:proofErr w:type="gramEnd"/>
      <w:r>
        <w:rPr>
          <w:rFonts w:ascii="Times New Roman" w:hAnsi="Times New Roman" w:cs="Times New Roman"/>
        </w:rPr>
        <w:t xml:space="preserve">*597]  did not require a response from the judge. The same is true for </w:t>
      </w:r>
      <w:proofErr w:type="spellStart"/>
      <w:r>
        <w:rPr>
          <w:rFonts w:ascii="Times New Roman" w:hAnsi="Times New Roman" w:cs="Times New Roman"/>
        </w:rPr>
        <w:t>Moskop's</w:t>
      </w:r>
      <w:proofErr w:type="spellEnd"/>
      <w:r>
        <w:rPr>
          <w:rFonts w:ascii="Times New Roman" w:hAnsi="Times New Roman" w:cs="Times New Roman"/>
        </w:rPr>
        <w:t xml:space="preserve"> objections to the government's proposed factors in aggravation, because in opposing those factors he offered no countervailing reasons for a lower sentence.</w:t>
      </w:r>
    </w:p>
    <w:p w:rsidR="007D5435" w:rsidRDefault="007D5435" w:rsidP="007D5435">
      <w:pPr>
        <w:widowControl/>
        <w:spacing w:before="120"/>
        <w:ind w:firstLine="360"/>
        <w:rPr>
          <w:rFonts w:ascii="Times New Roman" w:hAnsi="Times New Roman" w:cs="Times New Roman"/>
        </w:rPr>
      </w:pPr>
      <w:r>
        <w:rPr>
          <w:rFonts w:ascii="Times New Roman" w:hAnsi="Times New Roman" w:cs="Times New Roman"/>
        </w:rPr>
        <w:t xml:space="preserve">Apart from the "mitigation" problem, the judge also did not need to respond to </w:t>
      </w:r>
      <w:proofErr w:type="spellStart"/>
      <w:r>
        <w:rPr>
          <w:rFonts w:ascii="Times New Roman" w:hAnsi="Times New Roman" w:cs="Times New Roman"/>
        </w:rPr>
        <w:t>Moskop's</w:t>
      </w:r>
      <w:proofErr w:type="spellEnd"/>
      <w:r>
        <w:rPr>
          <w:rFonts w:ascii="Times New Roman" w:hAnsi="Times New Roman" w:cs="Times New Roman"/>
        </w:rPr>
        <w:t xml:space="preserve"> restitution argument b</w:t>
      </w:r>
      <w:r>
        <w:rPr>
          <w:rFonts w:ascii="Times New Roman" w:hAnsi="Times New Roman" w:cs="Times New Roman"/>
        </w:rPr>
        <w:t>e</w:t>
      </w:r>
      <w:r>
        <w:rPr>
          <w:rFonts w:ascii="Times New Roman" w:hAnsi="Times New Roman" w:cs="Times New Roman"/>
        </w:rPr>
        <w:t xml:space="preserve">cause that contention was not factually supported: </w:t>
      </w:r>
      <w:proofErr w:type="spellStart"/>
      <w:r>
        <w:rPr>
          <w:rFonts w:ascii="Times New Roman" w:hAnsi="Times New Roman" w:cs="Times New Roman"/>
        </w:rPr>
        <w:t>Moskop</w:t>
      </w:r>
      <w:proofErr w:type="spellEnd"/>
      <w:r>
        <w:rPr>
          <w:rFonts w:ascii="Times New Roman" w:hAnsi="Times New Roman" w:cs="Times New Roman"/>
        </w:rPr>
        <w:t xml:space="preserve"> gave the court no reason to think he would be able to pay more restitution if, instead of spending 20 years in prison and being released in his early eighties, he served a guidelines sentence and was released in his late seventies. Additionally, </w:t>
      </w:r>
      <w:proofErr w:type="spellStart"/>
      <w:r>
        <w:rPr>
          <w:rFonts w:ascii="Times New Roman" w:hAnsi="Times New Roman" w:cs="Times New Roman"/>
        </w:rPr>
        <w:t>Moskop</w:t>
      </w:r>
      <w:proofErr w:type="spellEnd"/>
      <w:r>
        <w:rPr>
          <w:rFonts w:ascii="Times New Roman" w:hAnsi="Times New Roman" w:cs="Times New Roman"/>
        </w:rPr>
        <w:t xml:space="preserve"> limited his restitution argument to nine lines in his sentencing memorandum and did not mention it at </w:t>
      </w:r>
      <w:r>
        <w:rPr>
          <w:rFonts w:ascii="Times New Roman" w:hAnsi="Times New Roman" w:cs="Times New Roman"/>
          <w:i/>
          <w:iCs/>
        </w:rPr>
        <w:t>all</w:t>
      </w:r>
      <w:r>
        <w:rPr>
          <w:rFonts w:ascii="Times New Roman" w:hAnsi="Times New Roman" w:cs="Times New Roman"/>
        </w:rPr>
        <w:t xml:space="preserve"> at the sentencing hearing. We have repeatedly said that co</w:t>
      </w:r>
      <w:r>
        <w:rPr>
          <w:rFonts w:ascii="Times New Roman" w:hAnsi="Times New Roman" w:cs="Times New Roman"/>
        </w:rPr>
        <w:t>n</w:t>
      </w:r>
      <w:r>
        <w:rPr>
          <w:rFonts w:ascii="Times New Roman" w:hAnsi="Times New Roman" w:cs="Times New Roman"/>
        </w:rPr>
        <w:t xml:space="preserve">tentions raised in such cursory fashion are not "principal" arguments requiring a response from the district court. </w:t>
      </w:r>
      <w:r>
        <w:rPr>
          <w:rFonts w:ascii="Times New Roman" w:hAnsi="Times New Roman" w:cs="Times New Roman"/>
          <w:i/>
          <w:iCs/>
        </w:rPr>
        <w:t>See Chapman,</w:t>
      </w:r>
      <w:r>
        <w:rPr>
          <w:rFonts w:ascii="Times New Roman" w:hAnsi="Times New Roman" w:cs="Times New Roman"/>
        </w:rPr>
        <w:t xml:space="preserve"> 694 F.3d at 914; </w:t>
      </w:r>
      <w:r>
        <w:rPr>
          <w:rFonts w:ascii="Times New Roman" w:hAnsi="Times New Roman" w:cs="Times New Roman"/>
          <w:i/>
          <w:iCs/>
        </w:rPr>
        <w:t>United States v. Martinez,</w:t>
      </w:r>
      <w:r>
        <w:rPr>
          <w:rFonts w:ascii="Times New Roman" w:hAnsi="Times New Roman" w:cs="Times New Roman"/>
        </w:rPr>
        <w:t xml:space="preserve"> 650 F.3d 667, 672 (7th Cir. 2011); </w:t>
      </w:r>
      <w:r>
        <w:rPr>
          <w:rFonts w:ascii="Times New Roman" w:hAnsi="Times New Roman" w:cs="Times New Roman"/>
          <w:i/>
          <w:iCs/>
        </w:rPr>
        <w:t>United States v. Mor</w:t>
      </w:r>
      <w:r>
        <w:rPr>
          <w:rFonts w:ascii="Times New Roman" w:hAnsi="Times New Roman" w:cs="Times New Roman"/>
          <w:i/>
          <w:iCs/>
        </w:rPr>
        <w:t>e</w:t>
      </w:r>
      <w:r>
        <w:rPr>
          <w:rFonts w:ascii="Times New Roman" w:hAnsi="Times New Roman" w:cs="Times New Roman"/>
          <w:i/>
          <w:iCs/>
        </w:rPr>
        <w:t>no-Padilla,</w:t>
      </w:r>
      <w:r>
        <w:rPr>
          <w:rFonts w:ascii="Times New Roman" w:hAnsi="Times New Roman" w:cs="Times New Roman"/>
        </w:rPr>
        <w:t xml:space="preserve"> 602 F.3d 802, 812 (7th Cir. 2010).</w:t>
      </w:r>
    </w:p>
    <w:p w:rsidR="007D5435" w:rsidRDefault="007D5435" w:rsidP="007D5435">
      <w:pPr>
        <w:widowControl/>
        <w:spacing w:before="120"/>
        <w:ind w:firstLine="360"/>
        <w:rPr>
          <w:rFonts w:ascii="Times New Roman" w:hAnsi="Times New Roman" w:cs="Times New Roman"/>
        </w:rPr>
      </w:pPr>
      <w:r>
        <w:rPr>
          <w:rFonts w:ascii="Times New Roman" w:hAnsi="Times New Roman" w:cs="Times New Roman"/>
        </w:rPr>
        <w:t>Finally</w:t>
      </w:r>
      <w:proofErr w:type="gramStart"/>
      <w:r>
        <w:rPr>
          <w:rFonts w:ascii="Times New Roman" w:hAnsi="Times New Roman" w:cs="Times New Roman"/>
        </w:rPr>
        <w:t>,  [</w:t>
      </w:r>
      <w:proofErr w:type="gramEnd"/>
      <w:r>
        <w:rPr>
          <w:rFonts w:ascii="Times New Roman" w:hAnsi="Times New Roman" w:cs="Times New Roman"/>
        </w:rPr>
        <w:t xml:space="preserve">**12] </w:t>
      </w:r>
      <w:proofErr w:type="spellStart"/>
      <w:r>
        <w:rPr>
          <w:rFonts w:ascii="Times New Roman" w:hAnsi="Times New Roman" w:cs="Times New Roman"/>
        </w:rPr>
        <w:t>Moskop's</w:t>
      </w:r>
      <w:proofErr w:type="spellEnd"/>
      <w:r>
        <w:rPr>
          <w:rFonts w:ascii="Times New Roman" w:hAnsi="Times New Roman" w:cs="Times New Roman"/>
        </w:rPr>
        <w:t xml:space="preserve"> argument that the guidelines already "took into account" all of the aggravating factors raised by the government is meritless. After </w:t>
      </w:r>
      <w:r>
        <w:rPr>
          <w:rFonts w:ascii="Times New Roman" w:hAnsi="Times New Roman" w:cs="Times New Roman"/>
          <w:i/>
          <w:iCs/>
        </w:rPr>
        <w:t>United States v. Booker,</w:t>
      </w:r>
      <w:r>
        <w:rPr>
          <w:rFonts w:ascii="Times New Roman" w:hAnsi="Times New Roman" w:cs="Times New Roman"/>
        </w:rPr>
        <w:t xml:space="preserve"> 543 U.S. 220, 125 S. Ct. 738, 160 L. Ed. 2d 621 (2005), and </w:t>
      </w:r>
      <w:r>
        <w:rPr>
          <w:rFonts w:ascii="Times New Roman" w:hAnsi="Times New Roman" w:cs="Times New Roman"/>
          <w:i/>
          <w:iCs/>
        </w:rPr>
        <w:t>Kimbrough v. United States,</w:t>
      </w:r>
      <w:r>
        <w:rPr>
          <w:rFonts w:ascii="Times New Roman" w:hAnsi="Times New Roman" w:cs="Times New Roman"/>
        </w:rPr>
        <w:t xml:space="preserve"> 552 U.S. 85, 128 S. Ct. 558, 169 L. Ed. 2d 481 (2007), district courts may i</w:t>
      </w:r>
      <w:r>
        <w:rPr>
          <w:rFonts w:ascii="Times New Roman" w:hAnsi="Times New Roman" w:cs="Times New Roman"/>
        </w:rPr>
        <w:t>m</w:t>
      </w:r>
      <w:r>
        <w:rPr>
          <w:rFonts w:ascii="Times New Roman" w:hAnsi="Times New Roman" w:cs="Times New Roman"/>
        </w:rPr>
        <w:t xml:space="preserve">pose sentences outside of the guidelines range based on their own </w:t>
      </w:r>
      <w:proofErr w:type="spellStart"/>
      <w:r>
        <w:rPr>
          <w:rFonts w:ascii="Times New Roman" w:hAnsi="Times New Roman" w:cs="Times New Roman"/>
        </w:rPr>
        <w:t>penological</w:t>
      </w:r>
      <w:proofErr w:type="spellEnd"/>
      <w:r>
        <w:rPr>
          <w:rFonts w:ascii="Times New Roman" w:hAnsi="Times New Roman" w:cs="Times New Roman"/>
        </w:rPr>
        <w:t xml:space="preserve"> philosophies, as long as the sentence is within statutory limits and reasonable. </w:t>
      </w:r>
      <w:proofErr w:type="spellStart"/>
      <w:proofErr w:type="gramStart"/>
      <w:r>
        <w:rPr>
          <w:rFonts w:ascii="Times New Roman" w:hAnsi="Times New Roman" w:cs="Times New Roman"/>
          <w:i/>
          <w:iCs/>
        </w:rPr>
        <w:t>Vrljicak</w:t>
      </w:r>
      <w:proofErr w:type="spellEnd"/>
      <w:r>
        <w:rPr>
          <w:rFonts w:ascii="Times New Roman" w:hAnsi="Times New Roman" w:cs="Times New Roman"/>
          <w:i/>
          <w:iCs/>
        </w:rPr>
        <w:t xml:space="preserve"> v. Holder,</w:t>
      </w:r>
      <w:r>
        <w:rPr>
          <w:rFonts w:ascii="Times New Roman" w:hAnsi="Times New Roman" w:cs="Times New Roman"/>
        </w:rPr>
        <w:t xml:space="preserve"> 700 F.3d 1060, 1062 (7th Cir. 2012); </w:t>
      </w:r>
      <w:r>
        <w:rPr>
          <w:rFonts w:ascii="Times New Roman" w:hAnsi="Times New Roman" w:cs="Times New Roman"/>
          <w:i/>
          <w:iCs/>
        </w:rPr>
        <w:t>United States v. Mount,</w:t>
      </w:r>
      <w:r>
        <w:rPr>
          <w:rFonts w:ascii="Times New Roman" w:hAnsi="Times New Roman" w:cs="Times New Roman"/>
        </w:rPr>
        <w:t xml:space="preserve"> 675 F.3d 1052, 1058 (7th Cir. 2012).</w:t>
      </w:r>
      <w:proofErr w:type="gramEnd"/>
      <w:r>
        <w:rPr>
          <w:rFonts w:ascii="Times New Roman" w:hAnsi="Times New Roman" w:cs="Times New Roman"/>
        </w:rPr>
        <w:t xml:space="preserve"> Under the new sentencing regime, nothing prohibits a district court from deciding that conduct already incorporated into a defendant's guidelines range warrants an above-range sentence under the fa</w:t>
      </w:r>
      <w:r>
        <w:rPr>
          <w:rFonts w:ascii="Times New Roman" w:hAnsi="Times New Roman" w:cs="Times New Roman"/>
        </w:rPr>
        <w:t>c</w:t>
      </w:r>
      <w:r>
        <w:rPr>
          <w:rFonts w:ascii="Times New Roman" w:hAnsi="Times New Roman" w:cs="Times New Roman"/>
        </w:rPr>
        <w:t xml:space="preserve">tors in § 3553(a). </w:t>
      </w:r>
      <w:proofErr w:type="gramStart"/>
      <w:r>
        <w:rPr>
          <w:rFonts w:ascii="Times New Roman" w:hAnsi="Times New Roman" w:cs="Times New Roman"/>
          <w:i/>
          <w:iCs/>
        </w:rPr>
        <w:t xml:space="preserve">United States v. </w:t>
      </w:r>
      <w:proofErr w:type="spellStart"/>
      <w:r>
        <w:rPr>
          <w:rFonts w:ascii="Times New Roman" w:hAnsi="Times New Roman" w:cs="Times New Roman"/>
          <w:i/>
          <w:iCs/>
        </w:rPr>
        <w:t>Aljabari</w:t>
      </w:r>
      <w:proofErr w:type="spellEnd"/>
      <w:r>
        <w:rPr>
          <w:rFonts w:ascii="Times New Roman" w:hAnsi="Times New Roman" w:cs="Times New Roman"/>
          <w:i/>
          <w:iCs/>
        </w:rPr>
        <w:t>,</w:t>
      </w:r>
      <w:r>
        <w:rPr>
          <w:rFonts w:ascii="Times New Roman" w:hAnsi="Times New Roman" w:cs="Times New Roman"/>
        </w:rPr>
        <w:t xml:space="preserve"> 626 F.3d 940, 951 (7th Cir. 2010).</w:t>
      </w:r>
      <w:proofErr w:type="gramEnd"/>
      <w:r>
        <w:rPr>
          <w:rFonts w:ascii="Times New Roman" w:hAnsi="Times New Roman" w:cs="Times New Roman"/>
        </w:rPr>
        <w:t xml:space="preserve"> Moreover, </w:t>
      </w:r>
      <w:proofErr w:type="spellStart"/>
      <w:r>
        <w:rPr>
          <w:rFonts w:ascii="Times New Roman" w:hAnsi="Times New Roman" w:cs="Times New Roman"/>
        </w:rPr>
        <w:t>Moskop's</w:t>
      </w:r>
      <w:proofErr w:type="spellEnd"/>
      <w:r>
        <w:rPr>
          <w:rFonts w:ascii="Times New Roman" w:hAnsi="Times New Roman" w:cs="Times New Roman"/>
        </w:rPr>
        <w:t xml:space="preserve"> argument is not even </w:t>
      </w:r>
      <w:r>
        <w:rPr>
          <w:rFonts w:ascii="Times New Roman" w:hAnsi="Times New Roman" w:cs="Times New Roman"/>
          <w:i/>
          <w:iCs/>
        </w:rPr>
        <w:t>factually</w:t>
      </w:r>
      <w:r>
        <w:rPr>
          <w:rFonts w:ascii="Times New Roman" w:hAnsi="Times New Roman" w:cs="Times New Roman"/>
        </w:rPr>
        <w:t xml:space="preserve"> correct because the government's arguments in aggravation, rather than parroting upward adjustments in the guidelines, focused on three grounds that the Sentencing Commission has encouraged district courts to consider when evaluating the adequacy of a within-range prison term. </w:t>
      </w:r>
      <w:r>
        <w:rPr>
          <w:rFonts w:ascii="Times New Roman" w:hAnsi="Times New Roman" w:cs="Times New Roman"/>
          <w:i/>
          <w:iCs/>
        </w:rPr>
        <w:t>See</w:t>
      </w:r>
      <w:r>
        <w:rPr>
          <w:rFonts w:ascii="Times New Roman" w:hAnsi="Times New Roman" w:cs="Times New Roman"/>
        </w:rPr>
        <w:t xml:space="preserve"> </w:t>
      </w:r>
      <w:proofErr w:type="spellStart"/>
      <w:r>
        <w:rPr>
          <w:rFonts w:ascii="Times New Roman" w:hAnsi="Times New Roman" w:cs="Times New Roman"/>
        </w:rPr>
        <w:t>U.S.S.G.</w:t>
      </w:r>
      <w:proofErr w:type="spellEnd"/>
      <w:r>
        <w:rPr>
          <w:rFonts w:ascii="Times New Roman" w:hAnsi="Times New Roman" w:cs="Times New Roman"/>
        </w:rPr>
        <w:t xml:space="preserve"> § 2B1.1 </w:t>
      </w:r>
      <w:proofErr w:type="spellStart"/>
      <w:r>
        <w:rPr>
          <w:rFonts w:ascii="Times New Roman" w:hAnsi="Times New Roman" w:cs="Times New Roman"/>
        </w:rPr>
        <w:t>cmt</w:t>
      </w:r>
      <w:proofErr w:type="spellEnd"/>
      <w:r>
        <w:rPr>
          <w:rFonts w:ascii="Times New Roman" w:hAnsi="Times New Roman" w:cs="Times New Roman"/>
        </w:rPr>
        <w:t xml:space="preserve">. </w:t>
      </w:r>
      <w:proofErr w:type="gramStart"/>
      <w:r>
        <w:rPr>
          <w:rFonts w:ascii="Times New Roman" w:hAnsi="Times New Roman" w:cs="Times New Roman"/>
        </w:rPr>
        <w:t>n.19(</w:t>
      </w:r>
      <w:proofErr w:type="gramEnd"/>
      <w:r>
        <w:rPr>
          <w:rFonts w:ascii="Times New Roman" w:hAnsi="Times New Roman" w:cs="Times New Roman"/>
        </w:rPr>
        <w:t xml:space="preserve">A)(ii) (sentencing court  [**13] may consider whether offense "caused or risked substantial non-monetary harm"); </w:t>
      </w:r>
      <w:r>
        <w:rPr>
          <w:rFonts w:ascii="Times New Roman" w:hAnsi="Times New Roman" w:cs="Times New Roman"/>
          <w:i/>
          <w:iCs/>
        </w:rPr>
        <w:t>id.</w:t>
      </w:r>
      <w:r>
        <w:rPr>
          <w:rFonts w:ascii="Times New Roman" w:hAnsi="Times New Roman" w:cs="Times New Roman"/>
        </w:rPr>
        <w:t xml:space="preserve"> </w:t>
      </w:r>
      <w:proofErr w:type="spellStart"/>
      <w:proofErr w:type="gramStart"/>
      <w:r>
        <w:rPr>
          <w:rFonts w:ascii="Times New Roman" w:hAnsi="Times New Roman" w:cs="Times New Roman"/>
        </w:rPr>
        <w:t>cmt</w:t>
      </w:r>
      <w:proofErr w:type="spellEnd"/>
      <w:proofErr w:type="gramEnd"/>
      <w:r>
        <w:rPr>
          <w:rFonts w:ascii="Times New Roman" w:hAnsi="Times New Roman" w:cs="Times New Roman"/>
        </w:rPr>
        <w:t xml:space="preserve">. </w:t>
      </w:r>
      <w:proofErr w:type="gramStart"/>
      <w:r>
        <w:rPr>
          <w:rFonts w:ascii="Times New Roman" w:hAnsi="Times New Roman" w:cs="Times New Roman"/>
        </w:rPr>
        <w:t>n.19(</w:t>
      </w:r>
      <w:proofErr w:type="gramEnd"/>
      <w:r>
        <w:rPr>
          <w:rFonts w:ascii="Times New Roman" w:hAnsi="Times New Roman" w:cs="Times New Roman"/>
        </w:rPr>
        <w:t xml:space="preserve">A)(iii) (court may evaluate whether offense involved interest or other costs not included in loss calculation); </w:t>
      </w:r>
      <w:r>
        <w:rPr>
          <w:rFonts w:ascii="Times New Roman" w:hAnsi="Times New Roman" w:cs="Times New Roman"/>
          <w:i/>
          <w:iCs/>
        </w:rPr>
        <w:t>id.</w:t>
      </w:r>
      <w:r>
        <w:rPr>
          <w:rFonts w:ascii="Times New Roman" w:hAnsi="Times New Roman" w:cs="Times New Roman"/>
        </w:rPr>
        <w:t xml:space="preserve"> § 5K2.21 (court may consider uncharged conduct not captured in guidelines range).</w:t>
      </w:r>
    </w:p>
    <w:p w:rsidR="007D5435" w:rsidRDefault="007D5435" w:rsidP="007D5435">
      <w:pPr>
        <w:widowControl/>
        <w:spacing w:before="120"/>
        <w:ind w:firstLine="360"/>
        <w:rPr>
          <w:rFonts w:ascii="Times New Roman" w:hAnsi="Times New Roman" w:cs="Times New Roman"/>
        </w:rPr>
      </w:pPr>
      <w:proofErr w:type="spellStart"/>
      <w:r>
        <w:rPr>
          <w:rFonts w:ascii="Times New Roman" w:hAnsi="Times New Roman" w:cs="Times New Roman"/>
        </w:rPr>
        <w:t>Moskop</w:t>
      </w:r>
      <w:proofErr w:type="spellEnd"/>
      <w:r>
        <w:rPr>
          <w:rFonts w:ascii="Times New Roman" w:hAnsi="Times New Roman" w:cs="Times New Roman"/>
        </w:rPr>
        <w:t xml:space="preserve"> also asserts that his prison sentence is substantively unreasonable "because the district court did not give proper consideration to his arguments in mitigation." But that contention simply repeats his claim of procedural error, </w:t>
      </w:r>
      <w:r>
        <w:rPr>
          <w:rFonts w:ascii="Times New Roman" w:hAnsi="Times New Roman" w:cs="Times New Roman"/>
          <w:i/>
          <w:iCs/>
        </w:rPr>
        <w:t>see Ramirez-Mendoza,</w:t>
      </w:r>
      <w:r>
        <w:rPr>
          <w:rFonts w:ascii="Times New Roman" w:hAnsi="Times New Roman" w:cs="Times New Roman"/>
        </w:rPr>
        <w:t xml:space="preserve"> 683 F.3d at 775, and as we already have stated, the court said all that was required in response to </w:t>
      </w:r>
      <w:proofErr w:type="spellStart"/>
      <w:r>
        <w:rPr>
          <w:rFonts w:ascii="Times New Roman" w:hAnsi="Times New Roman" w:cs="Times New Roman"/>
        </w:rPr>
        <w:t>Moskop's</w:t>
      </w:r>
      <w:proofErr w:type="spellEnd"/>
      <w:r>
        <w:rPr>
          <w:rFonts w:ascii="Times New Roman" w:hAnsi="Times New Roman" w:cs="Times New Roman"/>
        </w:rPr>
        <w:t xml:space="preserve"> arguments. In any event, </w:t>
      </w:r>
      <w:proofErr w:type="spellStart"/>
      <w:r>
        <w:rPr>
          <w:rFonts w:ascii="Times New Roman" w:hAnsi="Times New Roman" w:cs="Times New Roman"/>
        </w:rPr>
        <w:t>Moskop's</w:t>
      </w:r>
      <w:proofErr w:type="spellEnd"/>
      <w:r>
        <w:rPr>
          <w:rFonts w:ascii="Times New Roman" w:hAnsi="Times New Roman" w:cs="Times New Roman"/>
        </w:rPr>
        <w:t xml:space="preserve"> sentence rests firmly on the factors listed in § 3553(a). </w:t>
      </w:r>
      <w:r>
        <w:rPr>
          <w:rFonts w:ascii="Times New Roman" w:hAnsi="Times New Roman" w:cs="Times New Roman"/>
          <w:i/>
          <w:iCs/>
        </w:rPr>
        <w:t>See United States v. Courtland,</w:t>
      </w:r>
      <w:r>
        <w:rPr>
          <w:rFonts w:ascii="Times New Roman" w:hAnsi="Times New Roman" w:cs="Times New Roman"/>
        </w:rPr>
        <w:t xml:space="preserve"> 642 F.3d 545, 550 (7th Cir. 2011); </w:t>
      </w:r>
      <w:r>
        <w:rPr>
          <w:rFonts w:ascii="Times New Roman" w:hAnsi="Times New Roman" w:cs="Times New Roman"/>
          <w:i/>
          <w:iCs/>
        </w:rPr>
        <w:t>United States v. Wise,</w:t>
      </w:r>
      <w:r>
        <w:rPr>
          <w:rFonts w:ascii="Times New Roman" w:hAnsi="Times New Roman" w:cs="Times New Roman"/>
        </w:rPr>
        <w:t xml:space="preserve"> 556 F.3d 629, 632-33 (7th Cir. 2009). As in </w:t>
      </w:r>
      <w:r>
        <w:rPr>
          <w:rFonts w:ascii="Times New Roman" w:hAnsi="Times New Roman" w:cs="Times New Roman"/>
          <w:i/>
          <w:iCs/>
        </w:rPr>
        <w:t>United States v. Scott,</w:t>
      </w:r>
      <w:r>
        <w:rPr>
          <w:rFonts w:ascii="Times New Roman" w:hAnsi="Times New Roman" w:cs="Times New Roman"/>
        </w:rPr>
        <w:t xml:space="preserve"> 657 F.3d 639, 641 (7th Cir. 2011), a factually similar case, the district court was troubled by se</w:t>
      </w:r>
      <w:r>
        <w:rPr>
          <w:rFonts w:ascii="Times New Roman" w:hAnsi="Times New Roman" w:cs="Times New Roman"/>
        </w:rPr>
        <w:t>v</w:t>
      </w:r>
      <w:r>
        <w:rPr>
          <w:rFonts w:ascii="Times New Roman" w:hAnsi="Times New Roman" w:cs="Times New Roman"/>
        </w:rPr>
        <w:t xml:space="preserve">eral factors setting </w:t>
      </w:r>
      <w:proofErr w:type="spellStart"/>
      <w:r>
        <w:rPr>
          <w:rFonts w:ascii="Times New Roman" w:hAnsi="Times New Roman" w:cs="Times New Roman"/>
        </w:rPr>
        <w:t>Moskop's</w:t>
      </w:r>
      <w:proofErr w:type="spellEnd"/>
      <w:r>
        <w:rPr>
          <w:rFonts w:ascii="Times New Roman" w:hAnsi="Times New Roman" w:cs="Times New Roman"/>
        </w:rPr>
        <w:t xml:space="preserve"> case apart, including the length of time he carried out his scheme and his willingness to take everything from elderly and vulnerable victims. The court's </w:t>
      </w:r>
      <w:proofErr w:type="gramStart"/>
      <w:r>
        <w:rPr>
          <w:rFonts w:ascii="Times New Roman" w:hAnsi="Times New Roman" w:cs="Times New Roman"/>
        </w:rPr>
        <w:t>determination  [</w:t>
      </w:r>
      <w:proofErr w:type="gramEnd"/>
      <w:r>
        <w:rPr>
          <w:rFonts w:ascii="Times New Roman" w:hAnsi="Times New Roman" w:cs="Times New Roman"/>
        </w:rPr>
        <w:t>**14] that those factors required a sentence above the guidelines range was not an abuse of discretion.</w:t>
      </w:r>
    </w:p>
    <w:p w:rsidR="007D5435" w:rsidRDefault="007D5435" w:rsidP="007D5435">
      <w:pPr>
        <w:widowControl/>
        <w:spacing w:before="120"/>
        <w:ind w:firstLine="360"/>
        <w:rPr>
          <w:rFonts w:ascii="Times New Roman" w:hAnsi="Times New Roman" w:cs="Times New Roman"/>
        </w:rPr>
      </w:pPr>
      <w:r>
        <w:rPr>
          <w:rFonts w:ascii="Times New Roman" w:hAnsi="Times New Roman" w:cs="Times New Roman"/>
        </w:rPr>
        <w:t xml:space="preserve"> [*598]  Accordingly, we </w:t>
      </w:r>
      <w:r>
        <w:rPr>
          <w:rFonts w:ascii="Times New Roman" w:hAnsi="Times New Roman" w:cs="Times New Roman"/>
          <w:b/>
          <w:bCs/>
        </w:rPr>
        <w:t>AFFIRM</w:t>
      </w:r>
      <w:r>
        <w:rPr>
          <w:rFonts w:ascii="Times New Roman" w:hAnsi="Times New Roman" w:cs="Times New Roman"/>
        </w:rPr>
        <w:t xml:space="preserve"> </w:t>
      </w:r>
      <w:proofErr w:type="spellStart"/>
      <w:r>
        <w:rPr>
          <w:rFonts w:ascii="Times New Roman" w:hAnsi="Times New Roman" w:cs="Times New Roman"/>
        </w:rPr>
        <w:t>Moskop's</w:t>
      </w:r>
      <w:proofErr w:type="spellEnd"/>
      <w:r>
        <w:rPr>
          <w:rFonts w:ascii="Times New Roman" w:hAnsi="Times New Roman" w:cs="Times New Roman"/>
        </w:rPr>
        <w:t xml:space="preserve"> sentence.</w:t>
      </w:r>
    </w:p>
    <w:p w:rsidR="007D5435" w:rsidRDefault="007D5435" w:rsidP="007D5435">
      <w:pPr>
        <w:widowControl/>
        <w:spacing w:before="120"/>
        <w:rPr>
          <w:rFonts w:ascii="Times New Roman" w:hAnsi="Times New Roman" w:cs="Times New Roman"/>
        </w:rPr>
        <w:sectPr w:rsidR="007D5435" w:rsidSect="007D5435">
          <w:headerReference w:type="default" r:id="rId4"/>
          <w:pgSz w:w="12240" w:h="15840"/>
          <w:pgMar w:top="1728" w:right="1296" w:bottom="1296" w:left="1296" w:header="720" w:footer="720" w:gutter="0"/>
          <w:cols w:space="720"/>
          <w:noEndnote/>
        </w:sectPr>
      </w:pPr>
    </w:p>
    <w:p w:rsidR="00931139" w:rsidRDefault="00931139"/>
    <w:sectPr w:rsidR="00931139" w:rsidSect="00931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D46B5">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000000" w:rsidRDefault="00CD46B5">
    <w:pPr>
      <w:widowControl/>
      <w:suppressAutoHyphens/>
      <w:jc w:val="center"/>
      <w:rPr>
        <w:rFonts w:ascii="Times New Roman" w:hAnsi="Times New Roman" w:cs="Times New Roman"/>
      </w:rPr>
    </w:pPr>
    <w:r>
      <w:rPr>
        <w:rFonts w:ascii="Times New Roman" w:hAnsi="Times New Roman" w:cs="Times New Roman"/>
      </w:rPr>
      <w:t xml:space="preserve">499 Fed. </w:t>
    </w:r>
    <w:proofErr w:type="spellStart"/>
    <w:r>
      <w:rPr>
        <w:rFonts w:ascii="Times New Roman" w:hAnsi="Times New Roman" w:cs="Times New Roman"/>
      </w:rPr>
      <w:t>Appx</w:t>
    </w:r>
    <w:proofErr w:type="spellEnd"/>
    <w:r>
      <w:rPr>
        <w:rFonts w:ascii="Times New Roman" w:hAnsi="Times New Roman" w:cs="Times New Roman"/>
      </w:rPr>
      <w:t>. 592, *; 2013 U.S. App. LEXIS 462,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7D5435"/>
    <w:rsid w:val="000D1785"/>
    <w:rsid w:val="003B5229"/>
    <w:rsid w:val="007D5435"/>
    <w:rsid w:val="00931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35"/>
    <w:pPr>
      <w:widowControl w:val="0"/>
      <w:autoSpaceDE w:val="0"/>
      <w:autoSpaceDN w:val="0"/>
      <w:adjustRightInd w:val="0"/>
      <w:spacing w:after="0" w:line="240" w:lineRule="auto"/>
    </w:pPr>
    <w:rPr>
      <w:rFonts w:ascii="Courier" w:eastAsiaTheme="minorEastAsia" w:hAnsi="Courier"/>
      <w:sz w:val="20"/>
      <w:szCs w:val="20"/>
    </w:rPr>
  </w:style>
  <w:style w:type="paragraph" w:styleId="Heading1">
    <w:name w:val="heading 1"/>
    <w:basedOn w:val="Normal"/>
    <w:next w:val="Normal"/>
    <w:link w:val="Heading1Char"/>
    <w:autoRedefine/>
    <w:uiPriority w:val="9"/>
    <w:qFormat/>
    <w:rsid w:val="000D1785"/>
    <w:pPr>
      <w:keepNext/>
      <w:autoSpaceDE/>
      <w:autoSpaceDN/>
      <w:adjustRightInd/>
      <w:spacing w:before="240" w:after="60" w:line="480" w:lineRule="auto"/>
      <w:jc w:val="both"/>
      <w:outlineLvl w:val="0"/>
    </w:pPr>
    <w:rPr>
      <w:rFonts w:asciiTheme="minorHAnsi" w:eastAsiaTheme="minorHAnsi" w:hAnsiTheme="minorHAnsi" w:cs="Arial"/>
      <w:b/>
      <w:bCs/>
      <w:kern w:val="32"/>
      <w:sz w:val="32"/>
      <w:szCs w:val="32"/>
    </w:rPr>
  </w:style>
  <w:style w:type="paragraph" w:styleId="Heading2">
    <w:name w:val="heading 2"/>
    <w:basedOn w:val="Normal"/>
    <w:next w:val="Normal"/>
    <w:link w:val="Heading2Char"/>
    <w:autoRedefine/>
    <w:uiPriority w:val="9"/>
    <w:qFormat/>
    <w:rsid w:val="000D1785"/>
    <w:pPr>
      <w:autoSpaceDE/>
      <w:autoSpaceDN/>
      <w:adjustRightInd/>
      <w:spacing w:before="240" w:after="240"/>
      <w:outlineLvl w:val="1"/>
    </w:pPr>
    <w:rPr>
      <w:rFonts w:asciiTheme="minorHAnsi" w:eastAsiaTheme="minorHAnsi" w:hAnsiTheme="minorHAnsi" w:cs="Arial"/>
      <w:b/>
      <w:bCs/>
      <w:iCs/>
      <w:sz w:val="28"/>
      <w:szCs w:val="28"/>
    </w:rPr>
  </w:style>
  <w:style w:type="paragraph" w:styleId="Heading3">
    <w:name w:val="heading 3"/>
    <w:basedOn w:val="Normal"/>
    <w:next w:val="Normal"/>
    <w:link w:val="Heading3Char"/>
    <w:autoRedefine/>
    <w:uiPriority w:val="9"/>
    <w:qFormat/>
    <w:rsid w:val="000D1785"/>
    <w:pPr>
      <w:autoSpaceDE/>
      <w:autoSpaceDN/>
      <w:adjustRightInd/>
      <w:spacing w:before="240" w:after="240"/>
      <w:ind w:left="360"/>
      <w:outlineLvl w:val="2"/>
    </w:pPr>
    <w:rPr>
      <w:rFonts w:asciiTheme="minorHAnsi" w:eastAsiaTheme="minorHAnsi" w:hAnsiTheme="minorHAnsi" w:cs="Arial"/>
      <w:b/>
      <w:bCs/>
      <w:sz w:val="26"/>
      <w:szCs w:val="26"/>
    </w:rPr>
  </w:style>
  <w:style w:type="paragraph" w:styleId="Heading4">
    <w:name w:val="heading 4"/>
    <w:basedOn w:val="Normal"/>
    <w:next w:val="Normal"/>
    <w:link w:val="Heading4Char"/>
    <w:autoRedefine/>
    <w:uiPriority w:val="9"/>
    <w:qFormat/>
    <w:rsid w:val="000D1785"/>
    <w:pPr>
      <w:keepNext/>
      <w:autoSpaceDE/>
      <w:autoSpaceDN/>
      <w:adjustRightInd/>
      <w:spacing w:before="240" w:after="240"/>
      <w:ind w:left="720"/>
      <w:outlineLvl w:val="3"/>
    </w:pPr>
    <w:rPr>
      <w:rFonts w:asciiTheme="minorHAnsi" w:eastAsiaTheme="minorHAnsi" w:hAnsiTheme="minorHAnsi"/>
      <w:b/>
      <w:bCs/>
      <w:sz w:val="26"/>
      <w:szCs w:val="28"/>
    </w:rPr>
  </w:style>
  <w:style w:type="paragraph" w:styleId="Heading5">
    <w:name w:val="heading 5"/>
    <w:basedOn w:val="Normal"/>
    <w:next w:val="Normal"/>
    <w:link w:val="Heading5Char"/>
    <w:autoRedefine/>
    <w:qFormat/>
    <w:rsid w:val="000D1785"/>
    <w:pPr>
      <w:autoSpaceDE/>
      <w:autoSpaceDN/>
      <w:adjustRightInd/>
      <w:spacing w:before="240" w:after="240"/>
      <w:ind w:left="2160"/>
      <w:outlineLvl w:val="4"/>
    </w:pPr>
    <w:rPr>
      <w:rFonts w:asciiTheme="minorHAnsi" w:eastAsiaTheme="minorHAnsi" w:hAnsiTheme="minorHAns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785"/>
    <w:rPr>
      <w:rFonts w:cs="Arial"/>
      <w:b/>
      <w:bCs/>
      <w:kern w:val="32"/>
      <w:sz w:val="32"/>
      <w:szCs w:val="32"/>
    </w:rPr>
  </w:style>
  <w:style w:type="character" w:customStyle="1" w:styleId="Heading2Char">
    <w:name w:val="Heading 2 Char"/>
    <w:basedOn w:val="DefaultParagraphFont"/>
    <w:link w:val="Heading2"/>
    <w:uiPriority w:val="9"/>
    <w:rsid w:val="000D1785"/>
    <w:rPr>
      <w:rFonts w:cs="Arial"/>
      <w:b/>
      <w:bCs/>
      <w:iCs/>
      <w:sz w:val="28"/>
      <w:szCs w:val="28"/>
    </w:rPr>
  </w:style>
  <w:style w:type="character" w:customStyle="1" w:styleId="Heading3Char">
    <w:name w:val="Heading 3 Char"/>
    <w:basedOn w:val="DefaultParagraphFont"/>
    <w:link w:val="Heading3"/>
    <w:uiPriority w:val="9"/>
    <w:rsid w:val="000D1785"/>
    <w:rPr>
      <w:rFonts w:cs="Arial"/>
      <w:b/>
      <w:bCs/>
      <w:sz w:val="26"/>
      <w:szCs w:val="26"/>
    </w:rPr>
  </w:style>
  <w:style w:type="character" w:customStyle="1" w:styleId="Heading4Char">
    <w:name w:val="Heading 4 Char"/>
    <w:basedOn w:val="DefaultParagraphFont"/>
    <w:link w:val="Heading4"/>
    <w:uiPriority w:val="9"/>
    <w:rsid w:val="000D1785"/>
    <w:rPr>
      <w:b/>
      <w:bCs/>
      <w:sz w:val="26"/>
      <w:szCs w:val="28"/>
    </w:rPr>
  </w:style>
  <w:style w:type="character" w:customStyle="1" w:styleId="Heading5Char">
    <w:name w:val="Heading 5 Char"/>
    <w:basedOn w:val="DefaultParagraphFont"/>
    <w:link w:val="Heading5"/>
    <w:rsid w:val="000D1785"/>
    <w:rPr>
      <w:b/>
      <w:bCs/>
      <w:iCs/>
      <w:sz w:val="24"/>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2470</Words>
  <Characters>14081</Characters>
  <Application>Microsoft Office Word</Application>
  <DocSecurity>0</DocSecurity>
  <Lines>117</Lines>
  <Paragraphs>33</Paragraphs>
  <ScaleCrop>false</ScaleCrop>
  <Company/>
  <LinksUpToDate>false</LinksUpToDate>
  <CharactersWithSpaces>16518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KBP</dc:creator>
  <cp:keywords/>
  <dc:description/>
  <cp:lastModifiedBy/>
  <cp:revision>1</cp:revision>
  <dcterms:created xsi:type="dcterms:W3CDTF">2013-05-16T02:08:00Z</dcterms:created>
</cp:coreProperties>
</file>