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CAD10" w14:textId="5161A7F8"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Standard contractual clauses for the transfer of personal data to third countries (</w:t>
      </w:r>
      <w:r w:rsidRPr="001676D2">
        <w:rPr>
          <w:rFonts w:ascii="Times New Roman" w:eastAsia="Times New Roman" w:hAnsi="Times New Roman" w:cs="Times New Roman"/>
          <w:b/>
          <w:bCs/>
          <w:color w:val="444444"/>
          <w:sz w:val="27"/>
          <w:szCs w:val="27"/>
          <w:highlight w:val="yellow"/>
          <w:lang w:eastAsia="en-IE"/>
        </w:rPr>
        <w:t>controller to controller transfers</w:t>
      </w:r>
      <w:r w:rsidRPr="001676D2">
        <w:rPr>
          <w:rFonts w:ascii="Times New Roman" w:eastAsia="Times New Roman" w:hAnsi="Times New Roman" w:cs="Times New Roman"/>
          <w:b/>
          <w:bCs/>
          <w:color w:val="444444"/>
          <w:sz w:val="27"/>
          <w:szCs w:val="27"/>
          <w:lang w:eastAsia="en-IE"/>
        </w:rPr>
        <w:t>)</w:t>
      </w:r>
    </w:p>
    <w:p w14:paraId="5997FFC6"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Data transfer agreement</w:t>
      </w:r>
    </w:p>
    <w:p w14:paraId="373C3B47"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between</w:t>
      </w:r>
    </w:p>
    <w:p w14:paraId="1CBADF4C" w14:textId="3D14E0EB" w:rsidR="001676D2" w:rsidRPr="001676D2" w:rsidRDefault="001676D2" w:rsidP="001676D2">
      <w:pPr>
        <w:pStyle w:val="ListParagraph"/>
        <w:numPr>
          <w:ilvl w:val="0"/>
          <w:numId w:val="1"/>
        </w:num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w:t>
      </w:r>
      <w:r w:rsidRPr="001676D2">
        <w:rPr>
          <w:rFonts w:ascii="Times New Roman" w:eastAsia="Times New Roman" w:hAnsi="Times New Roman" w:cs="Times New Roman"/>
          <w:i/>
          <w:iCs/>
          <w:color w:val="444444"/>
          <w:sz w:val="27"/>
          <w:szCs w:val="27"/>
          <w:lang w:eastAsia="en-IE"/>
        </w:rPr>
        <w:t>name</w:t>
      </w:r>
      <w:r w:rsidRPr="001676D2">
        <w:rPr>
          <w:rFonts w:ascii="Times New Roman" w:eastAsia="Times New Roman" w:hAnsi="Times New Roman" w:cs="Times New Roman"/>
          <w:color w:val="444444"/>
          <w:sz w:val="27"/>
          <w:szCs w:val="27"/>
          <w:lang w:eastAsia="en-IE"/>
        </w:rPr>
        <w:t>)</w:t>
      </w:r>
    </w:p>
    <w:p w14:paraId="48152B8B" w14:textId="1E6A440E" w:rsidR="001676D2" w:rsidRPr="001676D2" w:rsidRDefault="001676D2" w:rsidP="001676D2">
      <w:pPr>
        <w:pStyle w:val="ListParagraph"/>
        <w:numPr>
          <w:ilvl w:val="0"/>
          <w:numId w:val="1"/>
        </w:num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w:t>
      </w:r>
      <w:r w:rsidRPr="001676D2">
        <w:rPr>
          <w:rFonts w:ascii="Times New Roman" w:eastAsia="Times New Roman" w:hAnsi="Times New Roman" w:cs="Times New Roman"/>
          <w:i/>
          <w:iCs/>
          <w:color w:val="444444"/>
          <w:sz w:val="27"/>
          <w:szCs w:val="27"/>
          <w:lang w:eastAsia="en-IE"/>
        </w:rPr>
        <w:t>address and country of establishment</w:t>
      </w:r>
      <w:r w:rsidRPr="001676D2">
        <w:rPr>
          <w:rFonts w:ascii="Times New Roman" w:eastAsia="Times New Roman" w:hAnsi="Times New Roman" w:cs="Times New Roman"/>
          <w:color w:val="444444"/>
          <w:sz w:val="27"/>
          <w:szCs w:val="27"/>
          <w:lang w:eastAsia="en-IE"/>
        </w:rPr>
        <w:t>)</w:t>
      </w:r>
    </w:p>
    <w:p w14:paraId="6F345187"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hereinafter “data exporter”)</w:t>
      </w:r>
    </w:p>
    <w:p w14:paraId="4528A6AC"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and</w:t>
      </w:r>
    </w:p>
    <w:p w14:paraId="438EED6D" w14:textId="7B96FD3F" w:rsidR="001676D2" w:rsidRPr="001676D2" w:rsidRDefault="001676D2" w:rsidP="001676D2">
      <w:pPr>
        <w:pStyle w:val="ListParagraph"/>
        <w:numPr>
          <w:ilvl w:val="0"/>
          <w:numId w:val="2"/>
        </w:num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w:t>
      </w:r>
      <w:r w:rsidRPr="001676D2">
        <w:rPr>
          <w:rFonts w:ascii="Times New Roman" w:eastAsia="Times New Roman" w:hAnsi="Times New Roman" w:cs="Times New Roman"/>
          <w:i/>
          <w:iCs/>
          <w:color w:val="444444"/>
          <w:sz w:val="27"/>
          <w:szCs w:val="27"/>
          <w:lang w:eastAsia="en-IE"/>
        </w:rPr>
        <w:t>name</w:t>
      </w:r>
      <w:r w:rsidRPr="001676D2">
        <w:rPr>
          <w:rFonts w:ascii="Times New Roman" w:eastAsia="Times New Roman" w:hAnsi="Times New Roman" w:cs="Times New Roman"/>
          <w:color w:val="444444"/>
          <w:sz w:val="27"/>
          <w:szCs w:val="27"/>
          <w:lang w:eastAsia="en-IE"/>
        </w:rPr>
        <w:t>)</w:t>
      </w:r>
    </w:p>
    <w:p w14:paraId="5D373960" w14:textId="090E7BAA" w:rsidR="001676D2" w:rsidRPr="001676D2" w:rsidRDefault="001676D2" w:rsidP="001676D2">
      <w:pPr>
        <w:pStyle w:val="ListParagraph"/>
        <w:numPr>
          <w:ilvl w:val="0"/>
          <w:numId w:val="2"/>
        </w:num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w:t>
      </w:r>
      <w:r w:rsidRPr="001676D2">
        <w:rPr>
          <w:rFonts w:ascii="Times New Roman" w:eastAsia="Times New Roman" w:hAnsi="Times New Roman" w:cs="Times New Roman"/>
          <w:i/>
          <w:iCs/>
          <w:color w:val="444444"/>
          <w:sz w:val="27"/>
          <w:szCs w:val="27"/>
          <w:lang w:eastAsia="en-IE"/>
        </w:rPr>
        <w:t>address and country of establishment</w:t>
      </w:r>
      <w:r w:rsidRPr="001676D2">
        <w:rPr>
          <w:rFonts w:ascii="Times New Roman" w:eastAsia="Times New Roman" w:hAnsi="Times New Roman" w:cs="Times New Roman"/>
          <w:color w:val="444444"/>
          <w:sz w:val="27"/>
          <w:szCs w:val="27"/>
          <w:lang w:eastAsia="en-IE"/>
        </w:rPr>
        <w:t>)</w:t>
      </w:r>
    </w:p>
    <w:p w14:paraId="2AA0FC5B"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hereinafter “data importer”</w:t>
      </w:r>
    </w:p>
    <w:p w14:paraId="7CFDF8C9"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each a “party”; together “the parties”.</w:t>
      </w:r>
    </w:p>
    <w:p w14:paraId="1AC3CC4C" w14:textId="77777777" w:rsid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p>
    <w:p w14:paraId="363E2D08" w14:textId="127E8512"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Definitions</w:t>
      </w:r>
    </w:p>
    <w:p w14:paraId="0A52690C"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For the purposes of the clauses:</w:t>
      </w: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4AD13941" w14:textId="77777777" w:rsidTr="001676D2">
        <w:tc>
          <w:tcPr>
            <w:tcW w:w="236" w:type="pct"/>
            <w:shd w:val="clear" w:color="auto" w:fill="auto"/>
            <w:hideMark/>
          </w:tcPr>
          <w:p w14:paraId="16949C5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64" w:type="pct"/>
            <w:shd w:val="clear" w:color="auto" w:fill="auto"/>
            <w:hideMark/>
          </w:tcPr>
          <w:p w14:paraId="5E3FA60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tc>
      </w:tr>
    </w:tbl>
    <w:p w14:paraId="578E3CDE"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7D4A2FB0" w14:textId="77777777" w:rsidTr="001676D2">
        <w:tc>
          <w:tcPr>
            <w:tcW w:w="236" w:type="pct"/>
            <w:shd w:val="clear" w:color="auto" w:fill="auto"/>
            <w:hideMark/>
          </w:tcPr>
          <w:p w14:paraId="06C1EAB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4" w:type="pct"/>
            <w:shd w:val="clear" w:color="auto" w:fill="auto"/>
            <w:hideMark/>
          </w:tcPr>
          <w:p w14:paraId="58562EB1"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data exporter” shall mean the controller who transfers the personal data;</w:t>
            </w:r>
          </w:p>
        </w:tc>
      </w:tr>
    </w:tbl>
    <w:p w14:paraId="221468A7"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31BE28CF" w14:textId="77777777" w:rsidTr="001676D2">
        <w:tc>
          <w:tcPr>
            <w:tcW w:w="236" w:type="pct"/>
            <w:shd w:val="clear" w:color="auto" w:fill="auto"/>
            <w:hideMark/>
          </w:tcPr>
          <w:p w14:paraId="03FF8FE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(c)</w:t>
            </w:r>
          </w:p>
        </w:tc>
        <w:tc>
          <w:tcPr>
            <w:tcW w:w="4764" w:type="pct"/>
            <w:shd w:val="clear" w:color="auto" w:fill="auto"/>
            <w:hideMark/>
          </w:tcPr>
          <w:p w14:paraId="7E417F5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data importer” shall mean the controller who agrees to receive from the data exporter personal data for further processing in accordance with the terms of these clauses and who is not subject to a third country’s system ensuring adequate protection;</w:t>
            </w:r>
          </w:p>
        </w:tc>
      </w:tr>
    </w:tbl>
    <w:p w14:paraId="673053B4"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3CF43A7B" w14:textId="77777777" w:rsidTr="001676D2">
        <w:tc>
          <w:tcPr>
            <w:tcW w:w="236" w:type="pct"/>
            <w:shd w:val="clear" w:color="auto" w:fill="auto"/>
            <w:hideMark/>
          </w:tcPr>
          <w:p w14:paraId="44081DAC"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w:t>
            </w:r>
          </w:p>
        </w:tc>
        <w:tc>
          <w:tcPr>
            <w:tcW w:w="4764" w:type="pct"/>
            <w:shd w:val="clear" w:color="auto" w:fill="auto"/>
            <w:hideMark/>
          </w:tcPr>
          <w:p w14:paraId="06671DF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“clauses” shall mean these contractual clauses, which are a free-standing document that does not incorporate commercial business terms established by the parties under separate commercial arrangements.</w:t>
            </w:r>
          </w:p>
        </w:tc>
      </w:tr>
    </w:tbl>
    <w:p w14:paraId="007466AA"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The details of the transfer (as well as the personal data covered) are specified in Annex B, which forms an integral part of the clauses.</w:t>
      </w:r>
    </w:p>
    <w:p w14:paraId="0C934367"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I.   Obligations of the data exporter</w:t>
      </w:r>
    </w:p>
    <w:p w14:paraId="088D9061"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The data exporter warrants and undertakes that:</w:t>
      </w: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38910028" w14:textId="77777777" w:rsidTr="0093676A">
        <w:tc>
          <w:tcPr>
            <w:tcW w:w="236" w:type="pct"/>
            <w:shd w:val="clear" w:color="auto" w:fill="auto"/>
            <w:hideMark/>
          </w:tcPr>
          <w:p w14:paraId="39E87C91"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64" w:type="pct"/>
            <w:shd w:val="clear" w:color="auto" w:fill="auto"/>
            <w:hideMark/>
          </w:tcPr>
          <w:p w14:paraId="26FFA60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personal data have been collected, processed and transferred in accordance with the laws applicable to the data exporter.</w:t>
            </w:r>
          </w:p>
        </w:tc>
      </w:tr>
    </w:tbl>
    <w:p w14:paraId="2DBFDF6A"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1C492085" w14:textId="77777777" w:rsidTr="001676D2">
        <w:tc>
          <w:tcPr>
            <w:tcW w:w="236" w:type="pct"/>
            <w:shd w:val="clear" w:color="auto" w:fill="auto"/>
            <w:hideMark/>
          </w:tcPr>
          <w:p w14:paraId="34EABA0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4" w:type="pct"/>
            <w:shd w:val="clear" w:color="auto" w:fill="auto"/>
            <w:hideMark/>
          </w:tcPr>
          <w:p w14:paraId="2BEF743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has used reasonable efforts to determine that the data importer is able to satisfy its legal obligations under these clauses.</w:t>
            </w:r>
          </w:p>
        </w:tc>
      </w:tr>
    </w:tbl>
    <w:p w14:paraId="3C7141F1"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44B3BCF8" w14:textId="77777777" w:rsidTr="0093676A">
        <w:tc>
          <w:tcPr>
            <w:tcW w:w="236" w:type="pct"/>
            <w:shd w:val="clear" w:color="auto" w:fill="auto"/>
            <w:hideMark/>
          </w:tcPr>
          <w:p w14:paraId="5FFB9A28"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lastRenderedPageBreak/>
              <w:t>(c)</w:t>
            </w:r>
          </w:p>
        </w:tc>
        <w:tc>
          <w:tcPr>
            <w:tcW w:w="4764" w:type="pct"/>
            <w:shd w:val="clear" w:color="auto" w:fill="auto"/>
            <w:hideMark/>
          </w:tcPr>
          <w:p w14:paraId="5255E80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provide the data importer, when so requested, with copies of relevant data protection laws or references to them (where relevant, and not including legal advice) of the country in which the data exporter is established.</w:t>
            </w:r>
          </w:p>
        </w:tc>
      </w:tr>
    </w:tbl>
    <w:p w14:paraId="3E65612B"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412791E8" w14:textId="77777777" w:rsidTr="0093676A">
        <w:tc>
          <w:tcPr>
            <w:tcW w:w="236" w:type="pct"/>
            <w:shd w:val="clear" w:color="auto" w:fill="auto"/>
            <w:hideMark/>
          </w:tcPr>
          <w:p w14:paraId="524D77C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w:t>
            </w:r>
          </w:p>
        </w:tc>
        <w:tc>
          <w:tcPr>
            <w:tcW w:w="4764" w:type="pct"/>
            <w:shd w:val="clear" w:color="auto" w:fill="auto"/>
            <w:hideMark/>
          </w:tcPr>
          <w:p w14:paraId="00F7E56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tc>
      </w:tr>
    </w:tbl>
    <w:p w14:paraId="261538B1"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52952299" w14:textId="77777777" w:rsidTr="0093676A">
        <w:tc>
          <w:tcPr>
            <w:tcW w:w="236" w:type="pct"/>
            <w:shd w:val="clear" w:color="auto" w:fill="auto"/>
            <w:hideMark/>
          </w:tcPr>
          <w:p w14:paraId="172CA13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(e)</w:t>
            </w:r>
          </w:p>
        </w:tc>
        <w:tc>
          <w:tcPr>
            <w:tcW w:w="4764" w:type="pct"/>
            <w:shd w:val="clear" w:color="auto" w:fill="auto"/>
            <w:hideMark/>
          </w:tcPr>
          <w:p w14:paraId="26317653"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tc>
      </w:tr>
    </w:tbl>
    <w:p w14:paraId="3E5D1642"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II.   Obligations of the data importer</w:t>
      </w:r>
    </w:p>
    <w:p w14:paraId="142BB12E"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color w:val="444444"/>
          <w:sz w:val="27"/>
          <w:szCs w:val="27"/>
          <w:lang w:eastAsia="en-IE"/>
        </w:rPr>
        <w:t>The data importer warrants and undertakes that:</w:t>
      </w:r>
    </w:p>
    <w:tbl>
      <w:tblPr>
        <w:tblW w:w="5000" w:type="pct"/>
        <w:tblLayout w:type="fixed"/>
        <w:tblCellMar>
          <w:left w:w="0" w:type="dxa"/>
          <w:right w:w="0" w:type="dxa"/>
        </w:tblCellMar>
        <w:tblLook w:val="04A0" w:firstRow="1" w:lastRow="0" w:firstColumn="1" w:lastColumn="0" w:noHBand="0" w:noVBand="1"/>
      </w:tblPr>
      <w:tblGrid>
        <w:gridCol w:w="426"/>
        <w:gridCol w:w="8600"/>
      </w:tblGrid>
      <w:tr w:rsidR="001676D2" w:rsidRPr="001676D2" w14:paraId="2AB1B1F7" w14:textId="77777777" w:rsidTr="0093676A">
        <w:tc>
          <w:tcPr>
            <w:tcW w:w="236" w:type="pct"/>
            <w:shd w:val="clear" w:color="auto" w:fill="auto"/>
            <w:hideMark/>
          </w:tcPr>
          <w:p w14:paraId="6B38E4F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64" w:type="pct"/>
            <w:shd w:val="clear" w:color="auto" w:fill="auto"/>
            <w:hideMark/>
          </w:tcPr>
          <w:p w14:paraId="00B4948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tc>
      </w:tr>
    </w:tbl>
    <w:p w14:paraId="7E0524CC"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6527CEDC" w14:textId="77777777" w:rsidTr="0093676A">
        <w:tc>
          <w:tcPr>
            <w:tcW w:w="236" w:type="pct"/>
            <w:shd w:val="clear" w:color="auto" w:fill="auto"/>
            <w:hideMark/>
          </w:tcPr>
          <w:p w14:paraId="2661AA2C"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4" w:type="pct"/>
            <w:shd w:val="clear" w:color="auto" w:fill="auto"/>
            <w:hideMark/>
          </w:tcPr>
          <w:p w14:paraId="0BCA2631"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tc>
      </w:tr>
    </w:tbl>
    <w:p w14:paraId="4337BC71"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19535260" w14:textId="77777777" w:rsidTr="0093676A">
        <w:tc>
          <w:tcPr>
            <w:tcW w:w="236" w:type="pct"/>
            <w:shd w:val="clear" w:color="auto" w:fill="auto"/>
            <w:hideMark/>
          </w:tcPr>
          <w:p w14:paraId="4C4511D1"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(c)</w:t>
            </w:r>
          </w:p>
        </w:tc>
        <w:tc>
          <w:tcPr>
            <w:tcW w:w="4764" w:type="pct"/>
            <w:shd w:val="clear" w:color="auto" w:fill="auto"/>
            <w:hideMark/>
          </w:tcPr>
          <w:p w14:paraId="10C965CE"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tc>
      </w:tr>
    </w:tbl>
    <w:p w14:paraId="2C8BEBBE"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13AC8C2E" w14:textId="77777777" w:rsidTr="0093676A">
        <w:tc>
          <w:tcPr>
            <w:tcW w:w="236" w:type="pct"/>
            <w:shd w:val="clear" w:color="auto" w:fill="auto"/>
            <w:hideMark/>
          </w:tcPr>
          <w:p w14:paraId="0EDF9AB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w:t>
            </w:r>
          </w:p>
        </w:tc>
        <w:tc>
          <w:tcPr>
            <w:tcW w:w="4764" w:type="pct"/>
            <w:shd w:val="clear" w:color="auto" w:fill="auto"/>
            <w:hideMark/>
          </w:tcPr>
          <w:p w14:paraId="333F04EB" w14:textId="0C6B2B85"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process the personal data for purposes described in Annex B,</w:t>
            </w:r>
            <w:r w:rsidR="0093676A">
              <w:rPr>
                <w:rFonts w:ascii="Times New Roman" w:eastAsia="Times New Roman" w:hAnsi="Times New Roman" w:cs="Times New Roman"/>
                <w:sz w:val="24"/>
                <w:szCs w:val="24"/>
                <w:lang w:eastAsia="en-IE"/>
              </w:rPr>
              <w:t xml:space="preserve"> </w:t>
            </w:r>
            <w:r w:rsidRPr="001676D2">
              <w:rPr>
                <w:rFonts w:ascii="Times New Roman" w:eastAsia="Times New Roman" w:hAnsi="Times New Roman" w:cs="Times New Roman"/>
                <w:sz w:val="24"/>
                <w:szCs w:val="24"/>
                <w:lang w:eastAsia="en-IE"/>
              </w:rPr>
              <w:t>and has the legal authority to give the warranties and fulfil the undertakings set out in these clauses.</w:t>
            </w:r>
          </w:p>
        </w:tc>
      </w:tr>
    </w:tbl>
    <w:p w14:paraId="5D8A8E43"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53F40719" w14:textId="77777777" w:rsidTr="0093676A">
        <w:tc>
          <w:tcPr>
            <w:tcW w:w="236" w:type="pct"/>
            <w:shd w:val="clear" w:color="auto" w:fill="auto"/>
            <w:hideMark/>
          </w:tcPr>
          <w:p w14:paraId="27807A1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(e)</w:t>
            </w:r>
          </w:p>
        </w:tc>
        <w:tc>
          <w:tcPr>
            <w:tcW w:w="4764" w:type="pct"/>
            <w:shd w:val="clear" w:color="auto" w:fill="auto"/>
            <w:hideMark/>
          </w:tcPr>
          <w:p w14:paraId="06D92884"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tc>
      </w:tr>
    </w:tbl>
    <w:p w14:paraId="53C13E4C"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11759696" w14:textId="77777777" w:rsidTr="0093676A">
        <w:tc>
          <w:tcPr>
            <w:tcW w:w="236" w:type="pct"/>
            <w:shd w:val="clear" w:color="auto" w:fill="auto"/>
            <w:hideMark/>
          </w:tcPr>
          <w:p w14:paraId="377FB8E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lastRenderedPageBreak/>
              <w:t>(f)</w:t>
            </w:r>
          </w:p>
        </w:tc>
        <w:tc>
          <w:tcPr>
            <w:tcW w:w="4764" w:type="pct"/>
            <w:shd w:val="clear" w:color="auto" w:fill="auto"/>
            <w:hideMark/>
          </w:tcPr>
          <w:p w14:paraId="39E496A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At the request of the data exporter, it will provide the data exporter with evidence of financial resources sufficient to fulfil its responsibilities under clause III (which may include insurance coverage).</w:t>
            </w:r>
          </w:p>
        </w:tc>
      </w:tr>
    </w:tbl>
    <w:p w14:paraId="671EB841"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4A6BB8B3" w14:textId="77777777" w:rsidTr="0093676A">
        <w:tc>
          <w:tcPr>
            <w:tcW w:w="236" w:type="pct"/>
            <w:shd w:val="clear" w:color="auto" w:fill="auto"/>
            <w:hideMark/>
          </w:tcPr>
          <w:p w14:paraId="208F858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(g)</w:t>
            </w:r>
          </w:p>
        </w:tc>
        <w:tc>
          <w:tcPr>
            <w:tcW w:w="4764" w:type="pct"/>
            <w:shd w:val="clear" w:color="auto" w:fill="auto"/>
            <w:hideMark/>
          </w:tcPr>
          <w:p w14:paraId="3D0380A9"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tc>
      </w:tr>
    </w:tbl>
    <w:p w14:paraId="219974AF"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769316D6" w14:textId="77777777" w:rsidTr="0093676A">
        <w:tc>
          <w:tcPr>
            <w:tcW w:w="236" w:type="pct"/>
            <w:shd w:val="clear" w:color="auto" w:fill="auto"/>
            <w:hideMark/>
          </w:tcPr>
          <w:p w14:paraId="171E264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(h)</w:t>
            </w:r>
          </w:p>
        </w:tc>
        <w:tc>
          <w:tcPr>
            <w:tcW w:w="4764" w:type="pct"/>
            <w:shd w:val="clear" w:color="auto" w:fill="auto"/>
            <w:hideMark/>
          </w:tcPr>
          <w:p w14:paraId="7AAE6CC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process the personal data, at its option, in accordance with:</w:t>
            </w:r>
          </w:p>
          <w:tbl>
            <w:tblPr>
              <w:tblW w:w="5000" w:type="pct"/>
              <w:tblCellMar>
                <w:left w:w="0" w:type="dxa"/>
                <w:right w:w="0" w:type="dxa"/>
              </w:tblCellMar>
              <w:tblLook w:val="04A0" w:firstRow="1" w:lastRow="0" w:firstColumn="1" w:lastColumn="0" w:noHBand="0" w:noVBand="1"/>
            </w:tblPr>
            <w:tblGrid>
              <w:gridCol w:w="239"/>
              <w:gridCol w:w="8361"/>
            </w:tblGrid>
            <w:tr w:rsidR="001676D2" w:rsidRPr="001676D2" w14:paraId="4CAA8ABD" w14:textId="77777777">
              <w:tc>
                <w:tcPr>
                  <w:tcW w:w="0" w:type="auto"/>
                  <w:shd w:val="clear" w:color="auto" w:fill="auto"/>
                  <w:hideMark/>
                </w:tcPr>
                <w:p w14:paraId="10909824"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w:t>
                  </w:r>
                </w:p>
              </w:tc>
              <w:tc>
                <w:tcPr>
                  <w:tcW w:w="0" w:type="auto"/>
                  <w:shd w:val="clear" w:color="auto" w:fill="auto"/>
                  <w:hideMark/>
                </w:tcPr>
                <w:p w14:paraId="1629623D"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data protection laws of the country in which the data exporter is established, or</w:t>
                  </w:r>
                </w:p>
              </w:tc>
            </w:tr>
          </w:tbl>
          <w:p w14:paraId="45994090"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294"/>
              <w:gridCol w:w="8306"/>
            </w:tblGrid>
            <w:tr w:rsidR="001676D2" w:rsidRPr="001676D2" w14:paraId="458D7E63" w14:textId="77777777">
              <w:tc>
                <w:tcPr>
                  <w:tcW w:w="0" w:type="auto"/>
                  <w:shd w:val="clear" w:color="auto" w:fill="auto"/>
                  <w:hideMark/>
                </w:tcPr>
                <w:p w14:paraId="234EAE3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(ii)</w:t>
                  </w:r>
                </w:p>
              </w:tc>
              <w:tc>
                <w:tcPr>
                  <w:tcW w:w="0" w:type="auto"/>
                  <w:shd w:val="clear" w:color="auto" w:fill="auto"/>
                  <w:hideMark/>
                </w:tcPr>
                <w:p w14:paraId="1C7EBFB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relevant provisions</w:t>
                  </w:r>
                  <w:hyperlink r:id="rId5" w:anchor="ntr1-L_2004385EN.01007702-E0001" w:history="1">
                    <w:r w:rsidRPr="001676D2">
                      <w:rPr>
                        <w:rFonts w:ascii="Times New Roman" w:eastAsia="Times New Roman" w:hAnsi="Times New Roman" w:cs="Times New Roman"/>
                        <w:color w:val="800080"/>
                        <w:sz w:val="24"/>
                        <w:szCs w:val="24"/>
                        <w:u w:val="single"/>
                        <w:lang w:eastAsia="en-IE"/>
                      </w:rPr>
                      <w:t> (</w:t>
                    </w:r>
                    <w:r w:rsidRPr="001676D2">
                      <w:rPr>
                        <w:rFonts w:ascii="Times New Roman" w:eastAsia="Times New Roman" w:hAnsi="Times New Roman" w:cs="Times New Roman"/>
                        <w:color w:val="800080"/>
                        <w:sz w:val="17"/>
                        <w:szCs w:val="17"/>
                        <w:vertAlign w:val="superscript"/>
                        <w:lang w:eastAsia="en-IE"/>
                      </w:rPr>
                      <w:t>1</w:t>
                    </w:r>
                    <w:r w:rsidRPr="001676D2">
                      <w:rPr>
                        <w:rFonts w:ascii="Times New Roman" w:eastAsia="Times New Roman" w:hAnsi="Times New Roman" w:cs="Times New Roman"/>
                        <w:color w:val="800080"/>
                        <w:sz w:val="24"/>
                        <w:szCs w:val="24"/>
                        <w:u w:val="single"/>
                        <w:lang w:eastAsia="en-IE"/>
                      </w:rPr>
                      <w:t>)</w:t>
                    </w:r>
                  </w:hyperlink>
                  <w:r w:rsidRPr="001676D2">
                    <w:rPr>
                      <w:rFonts w:ascii="Times New Roman" w:eastAsia="Times New Roman" w:hAnsi="Times New Roman" w:cs="Times New Roman"/>
                      <w:sz w:val="24"/>
                      <w:szCs w:val="24"/>
                      <w:lang w:eastAsia="en-IE"/>
                    </w:rPr>
                    <w:t>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hyperlink r:id="rId6" w:anchor="ntr2-L_2004385EN.01007702-E0002" w:history="1">
                    <w:r w:rsidRPr="001676D2">
                      <w:rPr>
                        <w:rFonts w:ascii="Times New Roman" w:eastAsia="Times New Roman" w:hAnsi="Times New Roman" w:cs="Times New Roman"/>
                        <w:color w:val="800080"/>
                        <w:sz w:val="24"/>
                        <w:szCs w:val="24"/>
                        <w:u w:val="single"/>
                        <w:lang w:eastAsia="en-IE"/>
                      </w:rPr>
                      <w:t> (</w:t>
                    </w:r>
                    <w:r w:rsidRPr="001676D2">
                      <w:rPr>
                        <w:rFonts w:ascii="Times New Roman" w:eastAsia="Times New Roman" w:hAnsi="Times New Roman" w:cs="Times New Roman"/>
                        <w:color w:val="800080"/>
                        <w:sz w:val="17"/>
                        <w:szCs w:val="17"/>
                        <w:vertAlign w:val="superscript"/>
                        <w:lang w:eastAsia="en-IE"/>
                      </w:rPr>
                      <w:t>2</w:t>
                    </w:r>
                    <w:r w:rsidRPr="001676D2">
                      <w:rPr>
                        <w:rFonts w:ascii="Times New Roman" w:eastAsia="Times New Roman" w:hAnsi="Times New Roman" w:cs="Times New Roman"/>
                        <w:color w:val="800080"/>
                        <w:sz w:val="24"/>
                        <w:szCs w:val="24"/>
                        <w:u w:val="single"/>
                        <w:lang w:eastAsia="en-IE"/>
                      </w:rPr>
                      <w:t>)</w:t>
                    </w:r>
                  </w:hyperlink>
                  <w:r w:rsidRPr="001676D2">
                    <w:rPr>
                      <w:rFonts w:ascii="Times New Roman" w:eastAsia="Times New Roman" w:hAnsi="Times New Roman" w:cs="Times New Roman"/>
                      <w:sz w:val="24"/>
                      <w:szCs w:val="24"/>
                      <w:lang w:eastAsia="en-IE"/>
                    </w:rPr>
                    <w:t>, or</w:t>
                  </w:r>
                </w:p>
              </w:tc>
            </w:tr>
          </w:tbl>
          <w:p w14:paraId="60366A90"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584"/>
              <w:gridCol w:w="8016"/>
            </w:tblGrid>
            <w:tr w:rsidR="001676D2" w:rsidRPr="001676D2" w14:paraId="626318BF" w14:textId="77777777">
              <w:tc>
                <w:tcPr>
                  <w:tcW w:w="0" w:type="auto"/>
                  <w:shd w:val="clear" w:color="auto" w:fill="auto"/>
                  <w:hideMark/>
                </w:tcPr>
                <w:p w14:paraId="22A304E9"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(iii)</w:t>
                  </w:r>
                </w:p>
              </w:tc>
              <w:tc>
                <w:tcPr>
                  <w:tcW w:w="0" w:type="auto"/>
                  <w:shd w:val="clear" w:color="auto" w:fill="auto"/>
                  <w:hideMark/>
                </w:tcPr>
                <w:p w14:paraId="63001604"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data processing principles set forth in Annex A.</w:t>
                  </w:r>
                </w:p>
                <w:p w14:paraId="15597A3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Data importer to indicate which option it selects:</w:t>
                  </w:r>
                </w:p>
                <w:p w14:paraId="24B22C88"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Initials of data importer:_;</w:t>
                  </w:r>
                </w:p>
              </w:tc>
            </w:tr>
          </w:tbl>
          <w:p w14:paraId="0EB95233" w14:textId="77777777" w:rsidR="001676D2" w:rsidRPr="001676D2" w:rsidRDefault="001676D2" w:rsidP="001676D2">
            <w:pPr>
              <w:spacing w:after="0" w:line="240" w:lineRule="auto"/>
              <w:rPr>
                <w:rFonts w:ascii="Times New Roman" w:eastAsia="Times New Roman" w:hAnsi="Times New Roman" w:cs="Times New Roman"/>
                <w:sz w:val="24"/>
                <w:szCs w:val="24"/>
                <w:lang w:eastAsia="en-IE"/>
              </w:rPr>
            </w:pPr>
          </w:p>
        </w:tc>
      </w:tr>
    </w:tbl>
    <w:p w14:paraId="03E0054F"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3A613545" w14:textId="77777777" w:rsidTr="0093676A">
        <w:tc>
          <w:tcPr>
            <w:tcW w:w="236" w:type="pct"/>
            <w:shd w:val="clear" w:color="auto" w:fill="auto"/>
            <w:hideMark/>
          </w:tcPr>
          <w:p w14:paraId="44385B0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w:t>
            </w:r>
          </w:p>
        </w:tc>
        <w:tc>
          <w:tcPr>
            <w:tcW w:w="4764" w:type="pct"/>
            <w:shd w:val="clear" w:color="auto" w:fill="auto"/>
            <w:hideMark/>
          </w:tcPr>
          <w:p w14:paraId="4108DF4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It will not disclose or transfer the personal data to a third party data controller located outside the European Economic Area (EEA) unless it notifies the data exporter about the transfer and</w:t>
            </w:r>
          </w:p>
          <w:tbl>
            <w:tblPr>
              <w:tblW w:w="5000" w:type="pct"/>
              <w:tblCellMar>
                <w:left w:w="0" w:type="dxa"/>
                <w:right w:w="0" w:type="dxa"/>
              </w:tblCellMar>
              <w:tblLook w:val="04A0" w:firstRow="1" w:lastRow="0" w:firstColumn="1" w:lastColumn="0" w:noHBand="0" w:noVBand="1"/>
            </w:tblPr>
            <w:tblGrid>
              <w:gridCol w:w="227"/>
              <w:gridCol w:w="8373"/>
            </w:tblGrid>
            <w:tr w:rsidR="001676D2" w:rsidRPr="001676D2" w14:paraId="25E42AB3" w14:textId="77777777">
              <w:tc>
                <w:tcPr>
                  <w:tcW w:w="0" w:type="auto"/>
                  <w:shd w:val="clear" w:color="auto" w:fill="auto"/>
                  <w:hideMark/>
                </w:tcPr>
                <w:p w14:paraId="0C6A886E"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w:t>
                  </w:r>
                </w:p>
              </w:tc>
              <w:tc>
                <w:tcPr>
                  <w:tcW w:w="0" w:type="auto"/>
                  <w:shd w:val="clear" w:color="auto" w:fill="auto"/>
                  <w:hideMark/>
                </w:tcPr>
                <w:p w14:paraId="6E008B1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third party data controller processes the personal data in accordance with a Commission decision finding that a third country provides adequate protection, or</w:t>
                  </w:r>
                </w:p>
              </w:tc>
            </w:tr>
          </w:tbl>
          <w:p w14:paraId="3D46E3ED"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294"/>
              <w:gridCol w:w="8306"/>
            </w:tblGrid>
            <w:tr w:rsidR="001676D2" w:rsidRPr="001676D2" w14:paraId="5AA19855" w14:textId="77777777">
              <w:tc>
                <w:tcPr>
                  <w:tcW w:w="0" w:type="auto"/>
                  <w:shd w:val="clear" w:color="auto" w:fill="auto"/>
                  <w:hideMark/>
                </w:tcPr>
                <w:p w14:paraId="63A2DF33"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(ii)</w:t>
                  </w:r>
                </w:p>
              </w:tc>
              <w:tc>
                <w:tcPr>
                  <w:tcW w:w="0" w:type="auto"/>
                  <w:shd w:val="clear" w:color="auto" w:fill="auto"/>
                  <w:hideMark/>
                </w:tcPr>
                <w:p w14:paraId="7A599B23"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third party data controller becomes a signatory to these clauses or another data transfer agreement approved by a competent authority in the EU, or</w:t>
                  </w:r>
                </w:p>
              </w:tc>
            </w:tr>
          </w:tbl>
          <w:p w14:paraId="045DD038"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360"/>
              <w:gridCol w:w="8240"/>
            </w:tblGrid>
            <w:tr w:rsidR="001676D2" w:rsidRPr="001676D2" w14:paraId="7920493F" w14:textId="77777777">
              <w:tc>
                <w:tcPr>
                  <w:tcW w:w="0" w:type="auto"/>
                  <w:shd w:val="clear" w:color="auto" w:fill="auto"/>
                  <w:hideMark/>
                </w:tcPr>
                <w:p w14:paraId="1E09B7EE"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(iii)</w:t>
                  </w:r>
                </w:p>
              </w:tc>
              <w:tc>
                <w:tcPr>
                  <w:tcW w:w="0" w:type="auto"/>
                  <w:shd w:val="clear" w:color="auto" w:fill="auto"/>
                  <w:hideMark/>
                </w:tcPr>
                <w:p w14:paraId="75E1F92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data subjects have been given the opportunity to object, after having been informed of the purposes of the transfer, the categories of recipients and the fact that the countries to which data is exported may have different data protection standards, or</w:t>
                  </w:r>
                </w:p>
              </w:tc>
            </w:tr>
          </w:tbl>
          <w:p w14:paraId="66A6EE4B"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347"/>
              <w:gridCol w:w="8253"/>
            </w:tblGrid>
            <w:tr w:rsidR="001676D2" w:rsidRPr="001676D2" w14:paraId="47ECD6DA" w14:textId="77777777">
              <w:tc>
                <w:tcPr>
                  <w:tcW w:w="0" w:type="auto"/>
                  <w:shd w:val="clear" w:color="auto" w:fill="auto"/>
                  <w:hideMark/>
                </w:tcPr>
                <w:p w14:paraId="2D10AF8E"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(iv)</w:t>
                  </w:r>
                </w:p>
              </w:tc>
              <w:tc>
                <w:tcPr>
                  <w:tcW w:w="0" w:type="auto"/>
                  <w:shd w:val="clear" w:color="auto" w:fill="auto"/>
                  <w:hideMark/>
                </w:tcPr>
                <w:p w14:paraId="742B9B2C"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with regard to onward transfers of sensitive data, data subjects have given their unambiguous consent to the onward transfer</w:t>
                  </w:r>
                </w:p>
              </w:tc>
            </w:tr>
          </w:tbl>
          <w:p w14:paraId="63FB4A60" w14:textId="77777777" w:rsidR="001676D2" w:rsidRPr="001676D2" w:rsidRDefault="001676D2" w:rsidP="001676D2">
            <w:pPr>
              <w:spacing w:after="0" w:line="240" w:lineRule="auto"/>
              <w:rPr>
                <w:rFonts w:ascii="Times New Roman" w:eastAsia="Times New Roman" w:hAnsi="Times New Roman" w:cs="Times New Roman"/>
                <w:sz w:val="24"/>
                <w:szCs w:val="24"/>
                <w:lang w:eastAsia="en-IE"/>
              </w:rPr>
            </w:pPr>
          </w:p>
        </w:tc>
      </w:tr>
    </w:tbl>
    <w:p w14:paraId="3E455D3A"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III.   Liability and third party rights</w:t>
      </w: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02773D2C" w14:textId="77777777" w:rsidTr="0093676A">
        <w:tc>
          <w:tcPr>
            <w:tcW w:w="236" w:type="pct"/>
            <w:shd w:val="clear" w:color="auto" w:fill="auto"/>
            <w:hideMark/>
          </w:tcPr>
          <w:p w14:paraId="061646A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64" w:type="pct"/>
            <w:shd w:val="clear" w:color="auto" w:fill="auto"/>
            <w:hideMark/>
          </w:tcPr>
          <w:p w14:paraId="1FA11A3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 xml:space="preserve">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w:t>
            </w:r>
            <w:r w:rsidRPr="001676D2">
              <w:rPr>
                <w:rFonts w:ascii="Times New Roman" w:eastAsia="Times New Roman" w:hAnsi="Times New Roman" w:cs="Times New Roman"/>
                <w:sz w:val="24"/>
                <w:szCs w:val="24"/>
                <w:lang w:eastAsia="en-IE"/>
              </w:rPr>
              <w:lastRenderedPageBreak/>
              <w:t>any breach of third party rights under these clauses. This does not affect the liability of the data exporter under its data protection law.</w:t>
            </w:r>
          </w:p>
        </w:tc>
      </w:tr>
    </w:tbl>
    <w:p w14:paraId="33727343"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165526F6" w14:textId="77777777" w:rsidTr="0093676A">
        <w:tc>
          <w:tcPr>
            <w:tcW w:w="236" w:type="pct"/>
            <w:shd w:val="clear" w:color="auto" w:fill="auto"/>
            <w:hideMark/>
          </w:tcPr>
          <w:p w14:paraId="48BCA69C"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4" w:type="pct"/>
            <w:shd w:val="clear" w:color="auto" w:fill="auto"/>
            <w:hideMark/>
          </w:tcPr>
          <w:p w14:paraId="0850944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tc>
      </w:tr>
    </w:tbl>
    <w:p w14:paraId="5BC46390"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IV.   Law applicable to the clauses</w:t>
      </w:r>
    </w:p>
    <w:p w14:paraId="182C6DFF"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7B848B93"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V.   Resolution of disputes with data subjects or the authority</w:t>
      </w: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27CBB9F4" w14:textId="77777777" w:rsidTr="0093676A">
        <w:tc>
          <w:tcPr>
            <w:tcW w:w="236" w:type="pct"/>
            <w:shd w:val="clear" w:color="auto" w:fill="auto"/>
            <w:hideMark/>
          </w:tcPr>
          <w:p w14:paraId="26EB9298"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64" w:type="pct"/>
            <w:shd w:val="clear" w:color="auto" w:fill="auto"/>
            <w:hideMark/>
          </w:tcPr>
          <w:p w14:paraId="3663A55D"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tc>
      </w:tr>
    </w:tbl>
    <w:p w14:paraId="4DA97EF6"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7E167913" w14:textId="77777777" w:rsidTr="0093676A">
        <w:tc>
          <w:tcPr>
            <w:tcW w:w="236" w:type="pct"/>
            <w:shd w:val="clear" w:color="auto" w:fill="auto"/>
            <w:hideMark/>
          </w:tcPr>
          <w:p w14:paraId="7A787B7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4" w:type="pct"/>
            <w:shd w:val="clear" w:color="auto" w:fill="auto"/>
            <w:hideMark/>
          </w:tcPr>
          <w:p w14:paraId="7B260EE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r>
    </w:tbl>
    <w:p w14:paraId="3F2FC0EB"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3931A055" w14:textId="77777777" w:rsidTr="0093676A">
        <w:tc>
          <w:tcPr>
            <w:tcW w:w="236" w:type="pct"/>
            <w:shd w:val="clear" w:color="auto" w:fill="auto"/>
            <w:hideMark/>
          </w:tcPr>
          <w:p w14:paraId="2608CA5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(c)</w:t>
            </w:r>
          </w:p>
        </w:tc>
        <w:tc>
          <w:tcPr>
            <w:tcW w:w="4764" w:type="pct"/>
            <w:shd w:val="clear" w:color="auto" w:fill="auto"/>
            <w:hideMark/>
          </w:tcPr>
          <w:p w14:paraId="3A46623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Each party shall abide by a decision of a competent court of the data exporter’s country of establishment or of the authority which is final and against which no further appeal is possible.</w:t>
            </w:r>
          </w:p>
        </w:tc>
      </w:tr>
    </w:tbl>
    <w:p w14:paraId="3FE0AF00"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VI.   Termination</w:t>
      </w: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0A444850" w14:textId="77777777" w:rsidTr="0093676A">
        <w:tc>
          <w:tcPr>
            <w:tcW w:w="236" w:type="pct"/>
            <w:shd w:val="clear" w:color="auto" w:fill="auto"/>
            <w:hideMark/>
          </w:tcPr>
          <w:p w14:paraId="29A66FD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64" w:type="pct"/>
            <w:shd w:val="clear" w:color="auto" w:fill="auto"/>
            <w:hideMark/>
          </w:tcPr>
          <w:p w14:paraId="711D409A"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In the event that the data importer is in breach of its obligations under these clauses, then the data exporter may temporarily suspend the transfer of personal data to the data importer until the breach is repaired or the contract is terminated.</w:t>
            </w:r>
          </w:p>
        </w:tc>
      </w:tr>
    </w:tbl>
    <w:p w14:paraId="7896DBFB"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6F446045" w14:textId="77777777" w:rsidTr="0093676A">
        <w:tc>
          <w:tcPr>
            <w:tcW w:w="236" w:type="pct"/>
            <w:shd w:val="clear" w:color="auto" w:fill="auto"/>
            <w:hideMark/>
          </w:tcPr>
          <w:p w14:paraId="4E8231D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4" w:type="pct"/>
            <w:shd w:val="clear" w:color="auto" w:fill="auto"/>
            <w:hideMark/>
          </w:tcPr>
          <w:p w14:paraId="73BF7A31"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In the event that:</w:t>
            </w:r>
          </w:p>
          <w:tbl>
            <w:tblPr>
              <w:tblW w:w="5000" w:type="pct"/>
              <w:tblCellMar>
                <w:left w:w="0" w:type="dxa"/>
                <w:right w:w="0" w:type="dxa"/>
              </w:tblCellMar>
              <w:tblLook w:val="04A0" w:firstRow="1" w:lastRow="0" w:firstColumn="1" w:lastColumn="0" w:noHBand="0" w:noVBand="1"/>
            </w:tblPr>
            <w:tblGrid>
              <w:gridCol w:w="289"/>
              <w:gridCol w:w="8311"/>
            </w:tblGrid>
            <w:tr w:rsidR="001676D2" w:rsidRPr="001676D2" w14:paraId="02398A34" w14:textId="77777777" w:rsidTr="0093676A">
              <w:tc>
                <w:tcPr>
                  <w:tcW w:w="168" w:type="pct"/>
                  <w:shd w:val="clear" w:color="auto" w:fill="auto"/>
                  <w:hideMark/>
                </w:tcPr>
                <w:p w14:paraId="13BFAFA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w:t>
                  </w:r>
                </w:p>
              </w:tc>
              <w:tc>
                <w:tcPr>
                  <w:tcW w:w="4832" w:type="pct"/>
                  <w:shd w:val="clear" w:color="auto" w:fill="auto"/>
                  <w:hideMark/>
                </w:tcPr>
                <w:p w14:paraId="3BC1507C"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transfer of personal data to the data importer has been temporarily suspended by the data exporter for longer than one month pursuant to paragraph (a);</w:t>
                  </w:r>
                </w:p>
              </w:tc>
            </w:tr>
          </w:tbl>
          <w:p w14:paraId="7477A89B"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432"/>
              <w:gridCol w:w="8168"/>
            </w:tblGrid>
            <w:tr w:rsidR="001676D2" w:rsidRPr="001676D2" w14:paraId="15869BE9" w14:textId="77777777" w:rsidTr="0093676A">
              <w:tc>
                <w:tcPr>
                  <w:tcW w:w="251" w:type="pct"/>
                  <w:shd w:val="clear" w:color="auto" w:fill="auto"/>
                  <w:hideMark/>
                </w:tcPr>
                <w:p w14:paraId="2D8C3999"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lastRenderedPageBreak/>
                    <w:t>(ii)</w:t>
                  </w:r>
                </w:p>
              </w:tc>
              <w:tc>
                <w:tcPr>
                  <w:tcW w:w="4749" w:type="pct"/>
                  <w:shd w:val="clear" w:color="auto" w:fill="auto"/>
                  <w:hideMark/>
                </w:tcPr>
                <w:p w14:paraId="778A73BA"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compliance by the data importer with these clauses would put it in breach of its legal or regulatory obligations in the country of import;</w:t>
                  </w:r>
                </w:p>
              </w:tc>
            </w:tr>
          </w:tbl>
          <w:p w14:paraId="6817FE80"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432"/>
              <w:gridCol w:w="8168"/>
            </w:tblGrid>
            <w:tr w:rsidR="001676D2" w:rsidRPr="001676D2" w14:paraId="719AC452" w14:textId="77777777" w:rsidTr="0093676A">
              <w:tc>
                <w:tcPr>
                  <w:tcW w:w="251" w:type="pct"/>
                  <w:shd w:val="clear" w:color="auto" w:fill="auto"/>
                  <w:hideMark/>
                </w:tcPr>
                <w:p w14:paraId="7B8B71ED"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(iii)</w:t>
                  </w:r>
                </w:p>
              </w:tc>
              <w:tc>
                <w:tcPr>
                  <w:tcW w:w="4749" w:type="pct"/>
                  <w:shd w:val="clear" w:color="auto" w:fill="auto"/>
                  <w:hideMark/>
                </w:tcPr>
                <w:p w14:paraId="2F9E93D9"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data importer is in substantial or persistent breach of any warranties or undertakings given by it under these clauses;</w:t>
                  </w:r>
                </w:p>
              </w:tc>
            </w:tr>
          </w:tbl>
          <w:p w14:paraId="596A6B7C"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432"/>
              <w:gridCol w:w="8168"/>
            </w:tblGrid>
            <w:tr w:rsidR="001676D2" w:rsidRPr="001676D2" w14:paraId="5968BF7A" w14:textId="77777777" w:rsidTr="0093676A">
              <w:tc>
                <w:tcPr>
                  <w:tcW w:w="251" w:type="pct"/>
                  <w:shd w:val="clear" w:color="auto" w:fill="auto"/>
                  <w:hideMark/>
                </w:tcPr>
                <w:p w14:paraId="62AA4AE3"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(iv)</w:t>
                  </w:r>
                </w:p>
              </w:tc>
              <w:tc>
                <w:tcPr>
                  <w:tcW w:w="4749" w:type="pct"/>
                  <w:shd w:val="clear" w:color="auto" w:fill="auto"/>
                  <w:hideMark/>
                </w:tcPr>
                <w:p w14:paraId="3A07D44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 final decision against which no further appeal is possible of a competent court of the data exporter’s country of establishment or of the authority rules that there has been a breach of the clauses by the data importer or the data exporter; or</w:t>
                  </w:r>
                </w:p>
              </w:tc>
            </w:tr>
          </w:tbl>
          <w:p w14:paraId="228690ED"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432"/>
              <w:gridCol w:w="8168"/>
            </w:tblGrid>
            <w:tr w:rsidR="001676D2" w:rsidRPr="001676D2" w14:paraId="4D6E0D3C" w14:textId="77777777" w:rsidTr="0093676A">
              <w:tc>
                <w:tcPr>
                  <w:tcW w:w="251" w:type="pct"/>
                  <w:shd w:val="clear" w:color="auto" w:fill="auto"/>
                  <w:hideMark/>
                </w:tcPr>
                <w:p w14:paraId="1F729344"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(v)</w:t>
                  </w:r>
                </w:p>
              </w:tc>
              <w:tc>
                <w:tcPr>
                  <w:tcW w:w="4749" w:type="pct"/>
                  <w:shd w:val="clear" w:color="auto" w:fill="auto"/>
                  <w:hideMark/>
                </w:tcPr>
                <w:p w14:paraId="09884FE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tc>
            </w:tr>
          </w:tbl>
          <w:p w14:paraId="11FE991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tc>
      </w:tr>
    </w:tbl>
    <w:p w14:paraId="2D2E3180"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7BB9EC1D" w14:textId="77777777" w:rsidTr="0093676A">
        <w:tc>
          <w:tcPr>
            <w:tcW w:w="236" w:type="pct"/>
            <w:shd w:val="clear" w:color="auto" w:fill="auto"/>
            <w:hideMark/>
          </w:tcPr>
          <w:p w14:paraId="602DCDD8"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(c)</w:t>
            </w:r>
          </w:p>
        </w:tc>
        <w:tc>
          <w:tcPr>
            <w:tcW w:w="4764" w:type="pct"/>
            <w:shd w:val="clear" w:color="auto" w:fill="auto"/>
            <w:hideMark/>
          </w:tcPr>
          <w:p w14:paraId="583EC935"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tc>
      </w:tr>
    </w:tbl>
    <w:p w14:paraId="26A40A06"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426"/>
        <w:gridCol w:w="8600"/>
      </w:tblGrid>
      <w:tr w:rsidR="001676D2" w:rsidRPr="001676D2" w14:paraId="63BB7E72" w14:textId="77777777" w:rsidTr="0093676A">
        <w:tc>
          <w:tcPr>
            <w:tcW w:w="236" w:type="pct"/>
            <w:shd w:val="clear" w:color="auto" w:fill="auto"/>
            <w:hideMark/>
          </w:tcPr>
          <w:p w14:paraId="7E215AD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w:t>
            </w:r>
          </w:p>
        </w:tc>
        <w:tc>
          <w:tcPr>
            <w:tcW w:w="4764" w:type="pct"/>
            <w:shd w:val="clear" w:color="auto" w:fill="auto"/>
            <w:hideMark/>
          </w:tcPr>
          <w:p w14:paraId="60A637E7"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tc>
      </w:tr>
    </w:tbl>
    <w:p w14:paraId="2AEEB9FA"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VII.   Variation of these clauses</w:t>
      </w:r>
    </w:p>
    <w:p w14:paraId="23616824"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The parties may not modify these clauses except to update any information in Annex B, in which case they will inform the authority where required. This does not preclude the parties from adding additional commercial clauses where required.</w:t>
      </w:r>
    </w:p>
    <w:p w14:paraId="6AE4E905"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VIII.   Description of the Transfer</w:t>
      </w:r>
    </w:p>
    <w:p w14:paraId="6ACC4AA4"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491B28D2"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p>
    <w:p w14:paraId="5B683C2E"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p>
    <w:p w14:paraId="6164FE30"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p>
    <w:p w14:paraId="3A587016" w14:textId="7A786654"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lastRenderedPageBreak/>
        <w:t xml:space="preserve">Dated: </w:t>
      </w:r>
    </w:p>
    <w:p w14:paraId="6DD0D53B"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_</w:t>
      </w:r>
    </w:p>
    <w:p w14:paraId="7F911F15" w14:textId="77FA9E1F" w:rsid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_</w:t>
      </w:r>
    </w:p>
    <w:p w14:paraId="649103F8" w14:textId="77777777" w:rsidR="0093676A" w:rsidRPr="001676D2" w:rsidRDefault="0093676A"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p>
    <w:p w14:paraId="7D626322"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FOR DATA IMPORTER</w:t>
      </w:r>
    </w:p>
    <w:p w14:paraId="2A36E64E" w14:textId="77777777" w:rsidR="0093676A" w:rsidRPr="001676D2" w:rsidRDefault="0093676A"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172E1269" w14:textId="77777777" w:rsidR="0093676A" w:rsidRPr="001676D2" w:rsidRDefault="0093676A"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5D84F1FA" w14:textId="77777777" w:rsidR="0093676A" w:rsidRPr="001676D2" w:rsidRDefault="0093676A"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5043E7A0" w14:textId="77777777" w:rsidR="0093676A" w:rsidRPr="001676D2" w:rsidRDefault="0093676A"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5819BCDD" w14:textId="77777777" w:rsidR="0093676A" w:rsidRPr="001676D2" w:rsidRDefault="0093676A"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6E6F5F05" w14:textId="77777777" w:rsidR="0093676A" w:rsidRPr="001676D2" w:rsidRDefault="0093676A"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3338310F"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p>
    <w:p w14:paraId="42820EF4" w14:textId="754D580F"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FOR DATA EXPORTER</w:t>
      </w:r>
    </w:p>
    <w:p w14:paraId="12848D5F"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02302A1E"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0CCC61A5"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17CAB8E2"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57237A93"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07224B1C"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w:t>
      </w:r>
    </w:p>
    <w:p w14:paraId="64085392" w14:textId="77777777" w:rsidR="001676D2" w:rsidRPr="0093676A" w:rsidRDefault="001676D2">
      <w:pPr>
        <w:rPr>
          <w:rFonts w:ascii="Times New Roman" w:eastAsia="Times New Roman" w:hAnsi="Times New Roman" w:cs="Times New Roman"/>
          <w:b/>
          <w:bCs/>
          <w:color w:val="444444"/>
          <w:sz w:val="24"/>
          <w:szCs w:val="24"/>
          <w:lang w:eastAsia="en-IE"/>
        </w:rPr>
      </w:pPr>
      <w:r w:rsidRPr="0093676A">
        <w:rPr>
          <w:rFonts w:ascii="Times New Roman" w:eastAsia="Times New Roman" w:hAnsi="Times New Roman" w:cs="Times New Roman"/>
          <w:b/>
          <w:bCs/>
          <w:color w:val="444444"/>
          <w:sz w:val="24"/>
          <w:szCs w:val="24"/>
          <w:lang w:eastAsia="en-IE"/>
        </w:rPr>
        <w:br w:type="page"/>
      </w:r>
    </w:p>
    <w:p w14:paraId="49A829F8" w14:textId="648882A1" w:rsidR="001676D2" w:rsidRPr="001676D2" w:rsidRDefault="001676D2" w:rsidP="001676D2">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lastRenderedPageBreak/>
        <w:t>ANNEX A</w:t>
      </w:r>
    </w:p>
    <w:p w14:paraId="535EDCCB"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DATA PROCESSING PRINCIPLES</w:t>
      </w: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37B4BF7F" w14:textId="77777777" w:rsidTr="0093676A">
        <w:tc>
          <w:tcPr>
            <w:tcW w:w="157" w:type="pct"/>
            <w:shd w:val="clear" w:color="auto" w:fill="auto"/>
            <w:hideMark/>
          </w:tcPr>
          <w:p w14:paraId="79493F7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1.</w:t>
            </w:r>
          </w:p>
        </w:tc>
        <w:tc>
          <w:tcPr>
            <w:tcW w:w="4843" w:type="pct"/>
            <w:shd w:val="clear" w:color="auto" w:fill="auto"/>
            <w:hideMark/>
          </w:tcPr>
          <w:p w14:paraId="0A13E13E"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Purpose limitation: Personal data may be processed and subsequently used or further communicated only for purposes described in Annex B or subsequently authorised by the data subject.</w:t>
            </w:r>
          </w:p>
        </w:tc>
      </w:tr>
    </w:tbl>
    <w:p w14:paraId="2C2338EA"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3FD073D7" w14:textId="77777777" w:rsidTr="0093676A">
        <w:tc>
          <w:tcPr>
            <w:tcW w:w="157" w:type="pct"/>
            <w:shd w:val="clear" w:color="auto" w:fill="auto"/>
            <w:hideMark/>
          </w:tcPr>
          <w:p w14:paraId="5E4B3150"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2.</w:t>
            </w:r>
          </w:p>
        </w:tc>
        <w:tc>
          <w:tcPr>
            <w:tcW w:w="4843" w:type="pct"/>
            <w:shd w:val="clear" w:color="auto" w:fill="auto"/>
            <w:hideMark/>
          </w:tcPr>
          <w:p w14:paraId="05AFAEC5"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Data quality and proportionality: Personal data must be accurate and, where necessary, kept up to date. The personal data must be adequate, relevant and not excessive in relation to the purposes for which they are transferred and further processed.</w:t>
            </w:r>
          </w:p>
        </w:tc>
      </w:tr>
    </w:tbl>
    <w:p w14:paraId="3AF8C264"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2D423B4C" w14:textId="77777777" w:rsidTr="0093676A">
        <w:tc>
          <w:tcPr>
            <w:tcW w:w="157" w:type="pct"/>
            <w:shd w:val="clear" w:color="auto" w:fill="auto"/>
            <w:hideMark/>
          </w:tcPr>
          <w:p w14:paraId="74465483"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3.</w:t>
            </w:r>
          </w:p>
        </w:tc>
        <w:tc>
          <w:tcPr>
            <w:tcW w:w="4843" w:type="pct"/>
            <w:shd w:val="clear" w:color="auto" w:fill="auto"/>
            <w:hideMark/>
          </w:tcPr>
          <w:p w14:paraId="49250BC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Transparency: Data subjects must be provided with information necessary to ensure fair processing (such as information about the purposes of processing and about the transfer), unless such information has already been given by the data exporter.</w:t>
            </w:r>
          </w:p>
        </w:tc>
      </w:tr>
    </w:tbl>
    <w:p w14:paraId="60E99033"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74DE5567" w14:textId="77777777" w:rsidTr="0093676A">
        <w:tc>
          <w:tcPr>
            <w:tcW w:w="157" w:type="pct"/>
            <w:shd w:val="clear" w:color="auto" w:fill="auto"/>
            <w:hideMark/>
          </w:tcPr>
          <w:p w14:paraId="7B4DDA34"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4.</w:t>
            </w:r>
          </w:p>
        </w:tc>
        <w:tc>
          <w:tcPr>
            <w:tcW w:w="4843" w:type="pct"/>
            <w:shd w:val="clear" w:color="auto" w:fill="auto"/>
            <w:hideMark/>
          </w:tcPr>
          <w:p w14:paraId="74B8E96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r>
    </w:tbl>
    <w:p w14:paraId="107F338D"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754FE212" w14:textId="77777777" w:rsidTr="0093676A">
        <w:tc>
          <w:tcPr>
            <w:tcW w:w="157" w:type="pct"/>
            <w:shd w:val="clear" w:color="auto" w:fill="auto"/>
            <w:hideMark/>
          </w:tcPr>
          <w:p w14:paraId="7AE967A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5.</w:t>
            </w:r>
          </w:p>
        </w:tc>
        <w:tc>
          <w:tcPr>
            <w:tcW w:w="4843" w:type="pct"/>
            <w:shd w:val="clear" w:color="auto" w:fill="auto"/>
            <w:hideMark/>
          </w:tcPr>
          <w:p w14:paraId="673B9F01"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tc>
      </w:tr>
    </w:tbl>
    <w:p w14:paraId="14A0BE48"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65E4081B" w14:textId="77777777" w:rsidTr="0093676A">
        <w:tc>
          <w:tcPr>
            <w:tcW w:w="157" w:type="pct"/>
            <w:shd w:val="clear" w:color="auto" w:fill="auto"/>
            <w:hideMark/>
          </w:tcPr>
          <w:p w14:paraId="75B09FCD"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6.</w:t>
            </w:r>
          </w:p>
        </w:tc>
        <w:tc>
          <w:tcPr>
            <w:tcW w:w="4843" w:type="pct"/>
            <w:shd w:val="clear" w:color="auto" w:fill="auto"/>
            <w:hideMark/>
          </w:tcPr>
          <w:p w14:paraId="13EF7EE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Sensitive data: The data importer shall take such additional measures (e.g. relating to security) as are necessary to protect such sensitive data in accordance with its obligations under clause II.</w:t>
            </w:r>
          </w:p>
        </w:tc>
      </w:tr>
    </w:tbl>
    <w:p w14:paraId="7817E9BE"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63EC4BC0" w14:textId="77777777" w:rsidTr="0093676A">
        <w:tc>
          <w:tcPr>
            <w:tcW w:w="157" w:type="pct"/>
            <w:shd w:val="clear" w:color="auto" w:fill="auto"/>
            <w:hideMark/>
          </w:tcPr>
          <w:p w14:paraId="486F1A7B"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lastRenderedPageBreak/>
              <w:t>7.</w:t>
            </w:r>
          </w:p>
        </w:tc>
        <w:tc>
          <w:tcPr>
            <w:tcW w:w="4843" w:type="pct"/>
            <w:shd w:val="clear" w:color="auto" w:fill="auto"/>
            <w:hideMark/>
          </w:tcPr>
          <w:p w14:paraId="6957AF48"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Data used for marketing purposes: Where data are processed for the purposes of direct marketing, effective procedures should exist allowing the data subject at any time to “opt-out” from having his data used for such purposes.</w:t>
            </w:r>
          </w:p>
        </w:tc>
      </w:tr>
    </w:tbl>
    <w:p w14:paraId="7B22E27B" w14:textId="77777777" w:rsidR="001676D2" w:rsidRPr="001676D2" w:rsidRDefault="001676D2" w:rsidP="001676D2">
      <w:pPr>
        <w:shd w:val="clear" w:color="auto" w:fill="FFFFFF"/>
        <w:spacing w:after="0" w:line="240" w:lineRule="auto"/>
        <w:rPr>
          <w:rFonts w:ascii="Times New Roman" w:eastAsia="Times New Roman" w:hAnsi="Times New Roman" w:cs="Times New Roman"/>
          <w:vanish/>
          <w:color w:val="444444"/>
          <w:sz w:val="27"/>
          <w:szCs w:val="27"/>
          <w:lang w:eastAsia="en-IE"/>
        </w:rPr>
      </w:pPr>
    </w:p>
    <w:tbl>
      <w:tblPr>
        <w:tblW w:w="5000" w:type="pct"/>
        <w:tblCellMar>
          <w:left w:w="0" w:type="dxa"/>
          <w:right w:w="0" w:type="dxa"/>
        </w:tblCellMar>
        <w:tblLook w:val="04A0" w:firstRow="1" w:lastRow="0" w:firstColumn="1" w:lastColumn="0" w:noHBand="0" w:noVBand="1"/>
      </w:tblPr>
      <w:tblGrid>
        <w:gridCol w:w="283"/>
        <w:gridCol w:w="8743"/>
      </w:tblGrid>
      <w:tr w:rsidR="001676D2" w:rsidRPr="001676D2" w14:paraId="36690BFA" w14:textId="77777777" w:rsidTr="0093676A">
        <w:tc>
          <w:tcPr>
            <w:tcW w:w="157" w:type="pct"/>
            <w:shd w:val="clear" w:color="auto" w:fill="auto"/>
            <w:hideMark/>
          </w:tcPr>
          <w:p w14:paraId="045791CE"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8.</w:t>
            </w:r>
          </w:p>
        </w:tc>
        <w:tc>
          <w:tcPr>
            <w:tcW w:w="4843" w:type="pct"/>
            <w:shd w:val="clear" w:color="auto" w:fill="auto"/>
            <w:hideMark/>
          </w:tcPr>
          <w:p w14:paraId="2E814EE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tbl>
            <w:tblPr>
              <w:tblW w:w="5000" w:type="pct"/>
              <w:tblCellMar>
                <w:left w:w="0" w:type="dxa"/>
                <w:right w:w="0" w:type="dxa"/>
              </w:tblCellMar>
              <w:tblLook w:val="04A0" w:firstRow="1" w:lastRow="0" w:firstColumn="1" w:lastColumn="0" w:noHBand="0" w:noVBand="1"/>
            </w:tblPr>
            <w:tblGrid>
              <w:gridCol w:w="423"/>
              <w:gridCol w:w="8320"/>
            </w:tblGrid>
            <w:tr w:rsidR="001676D2" w:rsidRPr="001676D2" w14:paraId="280CE434" w14:textId="77777777" w:rsidTr="0093676A">
              <w:tc>
                <w:tcPr>
                  <w:tcW w:w="242" w:type="pct"/>
                  <w:shd w:val="clear" w:color="auto" w:fill="auto"/>
                  <w:hideMark/>
                </w:tcPr>
                <w:p w14:paraId="31BC96D6"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(a)</w:t>
                  </w:r>
                </w:p>
              </w:tc>
              <w:tc>
                <w:tcPr>
                  <w:tcW w:w="4758" w:type="pct"/>
                  <w:shd w:val="clear" w:color="auto" w:fill="auto"/>
                  <w:hideMark/>
                </w:tcPr>
                <w:tbl>
                  <w:tblPr>
                    <w:tblW w:w="5000" w:type="pct"/>
                    <w:tblCellMar>
                      <w:left w:w="0" w:type="dxa"/>
                      <w:right w:w="0" w:type="dxa"/>
                    </w:tblCellMar>
                    <w:tblLook w:val="04A0" w:firstRow="1" w:lastRow="0" w:firstColumn="1" w:lastColumn="0" w:noHBand="0" w:noVBand="1"/>
                  </w:tblPr>
                  <w:tblGrid>
                    <w:gridCol w:w="227"/>
                    <w:gridCol w:w="8093"/>
                  </w:tblGrid>
                  <w:tr w:rsidR="001676D2" w:rsidRPr="001676D2" w14:paraId="0D012BC4" w14:textId="77777777">
                    <w:tc>
                      <w:tcPr>
                        <w:tcW w:w="0" w:type="auto"/>
                        <w:shd w:val="clear" w:color="auto" w:fill="auto"/>
                        <w:hideMark/>
                      </w:tcPr>
                      <w:p w14:paraId="2AF35BF2"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w:t>
                        </w:r>
                      </w:p>
                    </w:tc>
                    <w:tc>
                      <w:tcPr>
                        <w:tcW w:w="0" w:type="auto"/>
                        <w:shd w:val="clear" w:color="auto" w:fill="auto"/>
                        <w:hideMark/>
                      </w:tcPr>
                      <w:p w14:paraId="551B2256" w14:textId="77777777" w:rsidR="001676D2" w:rsidRPr="001676D2" w:rsidRDefault="001676D2" w:rsidP="0093676A">
                        <w:pPr>
                          <w:spacing w:before="120" w:after="0" w:line="312" w:lineRule="atLeast"/>
                          <w:ind w:left="204"/>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such decisions are made by the data importer in entering into or performing a contract with the data subject, and</w:t>
                        </w:r>
                      </w:p>
                    </w:tc>
                  </w:tr>
                </w:tbl>
                <w:p w14:paraId="00F8AE9C" w14:textId="77777777" w:rsidR="001676D2" w:rsidRPr="001676D2" w:rsidRDefault="001676D2" w:rsidP="001676D2">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firstRow="1" w:lastRow="0" w:firstColumn="1" w:lastColumn="0" w:noHBand="0" w:noVBand="1"/>
                  </w:tblPr>
                  <w:tblGrid>
                    <w:gridCol w:w="294"/>
                    <w:gridCol w:w="8026"/>
                  </w:tblGrid>
                  <w:tr w:rsidR="001676D2" w:rsidRPr="001676D2" w14:paraId="3909D726" w14:textId="77777777">
                    <w:tc>
                      <w:tcPr>
                        <w:tcW w:w="0" w:type="auto"/>
                        <w:shd w:val="clear" w:color="auto" w:fill="auto"/>
                        <w:hideMark/>
                      </w:tcPr>
                      <w:p w14:paraId="5F4F572F"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(ii)</w:t>
                        </w:r>
                      </w:p>
                    </w:tc>
                    <w:tc>
                      <w:tcPr>
                        <w:tcW w:w="0" w:type="auto"/>
                        <w:shd w:val="clear" w:color="auto" w:fill="auto"/>
                        <w:hideMark/>
                      </w:tcPr>
                      <w:p w14:paraId="01D08EFB" w14:textId="77777777" w:rsidR="001676D2" w:rsidRPr="001676D2" w:rsidRDefault="001676D2" w:rsidP="0093676A">
                        <w:pPr>
                          <w:spacing w:before="120" w:after="0" w:line="312" w:lineRule="atLeast"/>
                          <w:ind w:left="129"/>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(the data subject is given an opportunity to discuss the results of a relevant automated decision with a representative of the parties making such decision or otherwise to make representations to that parties.</w:t>
                        </w:r>
                      </w:p>
                    </w:tc>
                  </w:tr>
                </w:tbl>
                <w:p w14:paraId="498FADD7" w14:textId="77777777" w:rsidR="001676D2" w:rsidRPr="001676D2" w:rsidRDefault="001676D2" w:rsidP="001676D2">
                  <w:pPr>
                    <w:spacing w:after="0" w:line="240" w:lineRule="auto"/>
                    <w:rPr>
                      <w:rFonts w:ascii="Times New Roman" w:eastAsia="Times New Roman" w:hAnsi="Times New Roman" w:cs="Times New Roman"/>
                      <w:sz w:val="24"/>
                      <w:szCs w:val="24"/>
                      <w:lang w:eastAsia="en-IE"/>
                    </w:rPr>
                  </w:pPr>
                </w:p>
              </w:tc>
            </w:tr>
          </w:tbl>
          <w:p w14:paraId="119B633A" w14:textId="7271084C" w:rsidR="001676D2" w:rsidRPr="001676D2" w:rsidRDefault="003C03C3"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O</w:t>
            </w:r>
            <w:r w:rsidR="001676D2" w:rsidRPr="001676D2">
              <w:rPr>
                <w:rFonts w:ascii="Times New Roman" w:eastAsia="Times New Roman" w:hAnsi="Times New Roman" w:cs="Times New Roman"/>
                <w:sz w:val="24"/>
                <w:szCs w:val="24"/>
                <w:lang w:eastAsia="en-IE"/>
              </w:rPr>
              <w:t>r</w:t>
            </w:r>
          </w:p>
          <w:tbl>
            <w:tblPr>
              <w:tblW w:w="5000" w:type="pct"/>
              <w:tblCellMar>
                <w:left w:w="0" w:type="dxa"/>
                <w:right w:w="0" w:type="dxa"/>
              </w:tblCellMar>
              <w:tblLook w:val="04A0" w:firstRow="1" w:lastRow="0" w:firstColumn="1" w:lastColumn="0" w:noHBand="0" w:noVBand="1"/>
            </w:tblPr>
            <w:tblGrid>
              <w:gridCol w:w="420"/>
              <w:gridCol w:w="8323"/>
            </w:tblGrid>
            <w:tr w:rsidR="001676D2" w:rsidRPr="001676D2" w14:paraId="381BC50F" w14:textId="77777777" w:rsidTr="0093676A">
              <w:tc>
                <w:tcPr>
                  <w:tcW w:w="240" w:type="pct"/>
                  <w:shd w:val="clear" w:color="auto" w:fill="auto"/>
                  <w:hideMark/>
                </w:tcPr>
                <w:p w14:paraId="113A74BA"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(b)</w:t>
                  </w:r>
                </w:p>
              </w:tc>
              <w:tc>
                <w:tcPr>
                  <w:tcW w:w="4760" w:type="pct"/>
                  <w:shd w:val="clear" w:color="auto" w:fill="auto"/>
                  <w:hideMark/>
                </w:tcPr>
                <w:p w14:paraId="0A9CB015" w14:textId="77777777" w:rsidR="001676D2" w:rsidRPr="001676D2" w:rsidRDefault="001676D2" w:rsidP="001676D2">
                  <w:pPr>
                    <w:spacing w:before="120" w:after="0" w:line="312" w:lineRule="atLeast"/>
                    <w:jc w:val="both"/>
                    <w:rPr>
                      <w:rFonts w:ascii="Times New Roman" w:eastAsia="Times New Roman" w:hAnsi="Times New Roman" w:cs="Times New Roman"/>
                      <w:sz w:val="24"/>
                      <w:szCs w:val="24"/>
                      <w:lang w:eastAsia="en-IE"/>
                    </w:rPr>
                  </w:pPr>
                  <w:r w:rsidRPr="001676D2">
                    <w:rPr>
                      <w:rFonts w:ascii="Times New Roman" w:eastAsia="Times New Roman" w:hAnsi="Times New Roman" w:cs="Times New Roman"/>
                      <w:sz w:val="24"/>
                      <w:szCs w:val="24"/>
                      <w:lang w:eastAsia="en-IE"/>
                    </w:rPr>
                    <w:t>where otherwise provided by the law of the data exporter.</w:t>
                  </w:r>
                </w:p>
              </w:tc>
            </w:tr>
          </w:tbl>
          <w:p w14:paraId="1C63A977" w14:textId="77777777" w:rsidR="001676D2" w:rsidRPr="001676D2" w:rsidRDefault="001676D2" w:rsidP="001676D2">
            <w:pPr>
              <w:spacing w:after="0" w:line="240" w:lineRule="auto"/>
              <w:rPr>
                <w:rFonts w:ascii="Times New Roman" w:eastAsia="Times New Roman" w:hAnsi="Times New Roman" w:cs="Times New Roman"/>
                <w:sz w:val="24"/>
                <w:szCs w:val="24"/>
                <w:lang w:eastAsia="en-IE"/>
              </w:rPr>
            </w:pPr>
          </w:p>
        </w:tc>
      </w:tr>
    </w:tbl>
    <w:p w14:paraId="3E46233C" w14:textId="77777777" w:rsidR="001676D2" w:rsidRDefault="001676D2" w:rsidP="001676D2">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en-IE"/>
        </w:rPr>
      </w:pPr>
    </w:p>
    <w:p w14:paraId="7893A425" w14:textId="77777777" w:rsidR="001676D2" w:rsidRDefault="001676D2">
      <w:pPr>
        <w:rPr>
          <w:rFonts w:ascii="Times New Roman" w:eastAsia="Times New Roman" w:hAnsi="Times New Roman" w:cs="Times New Roman"/>
          <w:b/>
          <w:bCs/>
          <w:color w:val="444444"/>
          <w:sz w:val="27"/>
          <w:szCs w:val="27"/>
          <w:lang w:eastAsia="en-IE"/>
        </w:rPr>
      </w:pPr>
      <w:r>
        <w:rPr>
          <w:rFonts w:ascii="Times New Roman" w:eastAsia="Times New Roman" w:hAnsi="Times New Roman" w:cs="Times New Roman"/>
          <w:b/>
          <w:bCs/>
          <w:color w:val="444444"/>
          <w:sz w:val="27"/>
          <w:szCs w:val="27"/>
          <w:lang w:eastAsia="en-IE"/>
        </w:rPr>
        <w:br w:type="page"/>
      </w:r>
    </w:p>
    <w:p w14:paraId="76FD562D" w14:textId="23C285CC" w:rsidR="001676D2" w:rsidRPr="001676D2" w:rsidRDefault="001676D2" w:rsidP="001676D2">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lastRenderedPageBreak/>
        <w:t>ANNEX B</w:t>
      </w:r>
    </w:p>
    <w:p w14:paraId="7C8CDA20" w14:textId="2CD43018"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t>DESCRIPTION OF THE TRANSFER</w:t>
      </w:r>
      <w:r>
        <w:rPr>
          <w:rFonts w:ascii="Times New Roman" w:eastAsia="Times New Roman" w:hAnsi="Times New Roman" w:cs="Times New Roman"/>
          <w:b/>
          <w:bCs/>
          <w:color w:val="444444"/>
          <w:sz w:val="27"/>
          <w:szCs w:val="27"/>
          <w:lang w:eastAsia="en-IE"/>
        </w:rPr>
        <w:t xml:space="preserve"> -   </w:t>
      </w:r>
      <w:r w:rsidRPr="001676D2">
        <w:rPr>
          <w:rFonts w:ascii="Times New Roman" w:eastAsia="Times New Roman" w:hAnsi="Times New Roman" w:cs="Times New Roman"/>
          <w:b/>
          <w:bCs/>
          <w:color w:val="444444"/>
          <w:sz w:val="27"/>
          <w:szCs w:val="27"/>
          <w:lang w:eastAsia="en-IE"/>
        </w:rPr>
        <w:t>(To be completed by the parties)</w:t>
      </w:r>
    </w:p>
    <w:p w14:paraId="4298F37D" w14:textId="2BC5F659" w:rsidR="001676D2" w:rsidRPr="001676D2" w:rsidRDefault="001676D2" w:rsidP="001676D2">
      <w:pPr>
        <w:shd w:val="clear" w:color="auto" w:fill="FFFFFF"/>
        <w:spacing w:before="120" w:after="120" w:line="312" w:lineRule="atLeast"/>
        <w:jc w:val="center"/>
        <w:rPr>
          <w:rFonts w:ascii="Times New Roman" w:eastAsia="Times New Roman" w:hAnsi="Times New Roman" w:cs="Times New Roman"/>
          <w:color w:val="444444"/>
          <w:sz w:val="27"/>
          <w:szCs w:val="27"/>
          <w:lang w:eastAsia="en-IE"/>
        </w:rPr>
      </w:pPr>
      <w:r w:rsidRPr="001676D2">
        <w:rPr>
          <w:rFonts w:ascii="Times New Roman" w:eastAsia="Times New Roman" w:hAnsi="Times New Roman" w:cs="Times New Roman"/>
          <w:noProof/>
          <w:color w:val="444444"/>
          <w:sz w:val="27"/>
          <w:szCs w:val="27"/>
          <w:lang w:eastAsia="en-IE"/>
        </w:rPr>
        <w:drawing>
          <wp:inline distT="0" distB="0" distL="0" distR="0" wp14:anchorId="157EA7F1" wp14:editId="54A72868">
            <wp:extent cx="5419725" cy="851535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8515350"/>
                    </a:xfrm>
                    <a:prstGeom prst="rect">
                      <a:avLst/>
                    </a:prstGeom>
                    <a:noFill/>
                    <a:ln>
                      <a:noFill/>
                    </a:ln>
                  </pic:spPr>
                </pic:pic>
              </a:graphicData>
            </a:graphic>
          </wp:inline>
        </w:drawing>
      </w:r>
    </w:p>
    <w:p w14:paraId="00C1D19D" w14:textId="77777777" w:rsidR="001676D2" w:rsidRPr="001676D2" w:rsidRDefault="001676D2" w:rsidP="001676D2">
      <w:pPr>
        <w:shd w:val="clear" w:color="auto" w:fill="FFFFFF"/>
        <w:spacing w:before="240" w:after="120" w:line="312" w:lineRule="atLeast"/>
        <w:jc w:val="both"/>
        <w:rPr>
          <w:rFonts w:ascii="Times New Roman" w:eastAsia="Times New Roman" w:hAnsi="Times New Roman" w:cs="Times New Roman"/>
          <w:b/>
          <w:bCs/>
          <w:color w:val="444444"/>
          <w:sz w:val="27"/>
          <w:szCs w:val="27"/>
          <w:lang w:eastAsia="en-IE"/>
        </w:rPr>
      </w:pPr>
      <w:r w:rsidRPr="001676D2">
        <w:rPr>
          <w:rFonts w:ascii="Times New Roman" w:eastAsia="Times New Roman" w:hAnsi="Times New Roman" w:cs="Times New Roman"/>
          <w:b/>
          <w:bCs/>
          <w:color w:val="444444"/>
          <w:sz w:val="27"/>
          <w:szCs w:val="27"/>
          <w:lang w:eastAsia="en-IE"/>
        </w:rPr>
        <w:lastRenderedPageBreak/>
        <w:t>ILLUSTRATIVE COMMERCIAL CLAUSES (OPTIONAL)</w:t>
      </w:r>
    </w:p>
    <w:p w14:paraId="2693274A"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i/>
          <w:iCs/>
          <w:color w:val="444444"/>
          <w:sz w:val="24"/>
          <w:szCs w:val="24"/>
          <w:lang w:eastAsia="en-IE"/>
        </w:rPr>
        <w:t>Indemnification between the data exporter and data importer:</w:t>
      </w:r>
    </w:p>
    <w:p w14:paraId="7656FEA6"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“The parties will indemnify each other and hold each other harmless from any cost, charge, damages, expense or loss which they cause each other as a result of their breach of any of the provisions of these clauses. Indemnification hereunder is contingent upon (a) the party(ies) to be indemnified (the “indemnified party(ies)”) promptly notifying the other party(ies) (the “indemnifying party(ies)”) of a claim, (b) the indemnifying party(ies) having sole control of the defence and settlement of any such claim, and (c) the indemnified party(ies) providing reasonable cooperation and assistance to the indemnifying party(ies) in defence of such claim.”.</w:t>
      </w:r>
    </w:p>
    <w:p w14:paraId="2D43FE7C"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i/>
          <w:iCs/>
          <w:color w:val="444444"/>
          <w:sz w:val="24"/>
          <w:szCs w:val="24"/>
          <w:lang w:eastAsia="en-IE"/>
        </w:rPr>
      </w:pPr>
    </w:p>
    <w:p w14:paraId="02741790" w14:textId="63AADF43"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i/>
          <w:iCs/>
          <w:color w:val="444444"/>
          <w:sz w:val="24"/>
          <w:szCs w:val="24"/>
          <w:lang w:eastAsia="en-IE"/>
        </w:rPr>
        <w:t>Dispute resolution between the data exporter and data importer (the parties may of course substitute any other alternative dispute resolution or jurisdictional clause):</w:t>
      </w:r>
    </w:p>
    <w:p w14:paraId="3AB8A4BD"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“In the event of a dispute between the data importer and the data exporter concerning any alleged breach of any provision of these clauses, such dispute shall be finally settled under the rules of arbitration of the International Chamber of Commerce by one or more arbitrators appointed in accordance with the said rules. The place of arbitration shall be [ ]. The number of arbitrators shall be [ ].”</w:t>
      </w:r>
    </w:p>
    <w:p w14:paraId="5AAEA9FC"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i/>
          <w:iCs/>
          <w:color w:val="444444"/>
          <w:sz w:val="24"/>
          <w:szCs w:val="24"/>
          <w:lang w:eastAsia="en-IE"/>
        </w:rPr>
      </w:pPr>
    </w:p>
    <w:p w14:paraId="5894ADB1" w14:textId="2486992A"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i/>
          <w:iCs/>
          <w:color w:val="444444"/>
          <w:sz w:val="24"/>
          <w:szCs w:val="24"/>
          <w:lang w:eastAsia="en-IE"/>
        </w:rPr>
        <w:t>Allocation of costs:</w:t>
      </w:r>
    </w:p>
    <w:p w14:paraId="5AD857A2" w14:textId="77777777"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“Each party shall perform its obligations under these clauses at its own cost.”</w:t>
      </w:r>
    </w:p>
    <w:p w14:paraId="40ED3103" w14:textId="77777777" w:rsidR="0093676A" w:rsidRDefault="0093676A" w:rsidP="001676D2">
      <w:pPr>
        <w:shd w:val="clear" w:color="auto" w:fill="FFFFFF"/>
        <w:spacing w:before="120" w:after="0" w:line="312" w:lineRule="atLeast"/>
        <w:jc w:val="both"/>
        <w:rPr>
          <w:rFonts w:ascii="Times New Roman" w:eastAsia="Times New Roman" w:hAnsi="Times New Roman" w:cs="Times New Roman"/>
          <w:i/>
          <w:iCs/>
          <w:color w:val="444444"/>
          <w:sz w:val="24"/>
          <w:szCs w:val="24"/>
          <w:lang w:eastAsia="en-IE"/>
        </w:rPr>
      </w:pPr>
    </w:p>
    <w:p w14:paraId="38A6D71D" w14:textId="79BC1E8E" w:rsidR="001676D2" w:rsidRPr="001676D2" w:rsidRDefault="001676D2" w:rsidP="001676D2">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i/>
          <w:iCs/>
          <w:color w:val="444444"/>
          <w:sz w:val="24"/>
          <w:szCs w:val="24"/>
          <w:lang w:eastAsia="en-IE"/>
        </w:rPr>
        <w:t>Extra termination clause:</w:t>
      </w:r>
    </w:p>
    <w:p w14:paraId="1009FBD5" w14:textId="62A4B46F" w:rsidR="001676D2" w:rsidRPr="001676D2" w:rsidRDefault="001676D2" w:rsidP="0093676A">
      <w:pPr>
        <w:shd w:val="clear" w:color="auto" w:fill="FFFFFF"/>
        <w:spacing w:before="120" w:after="0" w:line="312" w:lineRule="atLeast"/>
        <w:jc w:val="both"/>
        <w:rPr>
          <w:rFonts w:ascii="Times New Roman" w:eastAsia="Times New Roman" w:hAnsi="Times New Roman" w:cs="Times New Roman"/>
          <w:color w:val="444444"/>
          <w:sz w:val="24"/>
          <w:szCs w:val="24"/>
          <w:lang w:eastAsia="en-IE"/>
        </w:rPr>
      </w:pPr>
      <w:r w:rsidRPr="001676D2">
        <w:rPr>
          <w:rFonts w:ascii="Times New Roman" w:eastAsia="Times New Roman" w:hAnsi="Times New Roman" w:cs="Times New Roman"/>
          <w:color w:val="444444"/>
          <w:sz w:val="24"/>
          <w:szCs w:val="24"/>
          <w:lang w:eastAsia="en-IE"/>
        </w:rPr>
        <w:t>“In the event of termination of these clauses, the data importer must return all personal data and all copies of the personal data subject to these clauses to the data exporter forthwith or, at the data exporter’s choice, will destroy all copies of the same and certify to the data exporter that it has done so, unless the data importer is prevented by its national law or local regulator from destroying or returning all or part of such data, in which event the data will be kept confidential and will not be actively processed for any purpose. The data importer agrees that, if so requested by the data exporter, it will allow the data exporter, or an inspection agent selected by the data exporter and not reasonably objected to by the data importer, access to its establishment to verify that this has been done, with reasonable notice and during business hours.”</w:t>
      </w:r>
    </w:p>
    <w:p w14:paraId="6A0ED858" w14:textId="77777777" w:rsidR="001676D2" w:rsidRPr="001676D2" w:rsidRDefault="0041510A" w:rsidP="001676D2">
      <w:pPr>
        <w:shd w:val="clear" w:color="auto" w:fill="FFFFFF"/>
        <w:spacing w:before="240" w:after="60" w:line="240" w:lineRule="auto"/>
        <w:rPr>
          <w:rFonts w:ascii="Times New Roman" w:eastAsia="Times New Roman" w:hAnsi="Times New Roman" w:cs="Times New Roman"/>
          <w:color w:val="444444"/>
          <w:sz w:val="27"/>
          <w:szCs w:val="27"/>
          <w:lang w:eastAsia="en-IE"/>
        </w:rPr>
      </w:pPr>
      <w:r>
        <w:rPr>
          <w:rFonts w:ascii="Times New Roman" w:eastAsia="Times New Roman" w:hAnsi="Times New Roman" w:cs="Times New Roman"/>
          <w:color w:val="444444"/>
          <w:sz w:val="27"/>
          <w:szCs w:val="27"/>
          <w:lang w:eastAsia="en-IE"/>
        </w:rPr>
        <w:pict w14:anchorId="36FD7A61">
          <v:rect id="_x0000_i1025" style="width:129pt;height:.75pt" o:hrpct="0" o:hrstd="t" o:hrnoshade="t" o:hr="t" fillcolor="black" stroked="f"/>
        </w:pict>
      </w:r>
    </w:p>
    <w:p w14:paraId="568E8A20" w14:textId="77777777" w:rsidR="001676D2" w:rsidRPr="001676D2" w:rsidRDefault="0041510A" w:rsidP="001676D2">
      <w:pPr>
        <w:shd w:val="clear" w:color="auto" w:fill="FFFFFF"/>
        <w:spacing w:before="60" w:after="60" w:line="312" w:lineRule="atLeast"/>
        <w:jc w:val="both"/>
        <w:rPr>
          <w:rFonts w:ascii="Times New Roman" w:eastAsia="Times New Roman" w:hAnsi="Times New Roman" w:cs="Times New Roman"/>
          <w:color w:val="444444"/>
          <w:lang w:eastAsia="en-IE"/>
        </w:rPr>
      </w:pPr>
      <w:hyperlink r:id="rId8" w:anchor="ntc1-L_2004385EN.01007702-E0001" w:history="1">
        <w:r w:rsidR="001676D2" w:rsidRPr="001676D2">
          <w:rPr>
            <w:rFonts w:ascii="Times New Roman" w:eastAsia="Times New Roman" w:hAnsi="Times New Roman" w:cs="Times New Roman"/>
            <w:color w:val="800080"/>
            <w:u w:val="single"/>
            <w:lang w:eastAsia="en-IE"/>
          </w:rPr>
          <w:t>(</w:t>
        </w:r>
        <w:r w:rsidR="001676D2" w:rsidRPr="001676D2">
          <w:rPr>
            <w:rFonts w:ascii="Times New Roman" w:eastAsia="Times New Roman" w:hAnsi="Times New Roman" w:cs="Times New Roman"/>
            <w:color w:val="800080"/>
            <w:sz w:val="15"/>
            <w:szCs w:val="15"/>
            <w:vertAlign w:val="superscript"/>
            <w:lang w:eastAsia="en-IE"/>
          </w:rPr>
          <w:t>1</w:t>
        </w:r>
        <w:r w:rsidR="001676D2" w:rsidRPr="001676D2">
          <w:rPr>
            <w:rFonts w:ascii="Times New Roman" w:eastAsia="Times New Roman" w:hAnsi="Times New Roman" w:cs="Times New Roman"/>
            <w:color w:val="800080"/>
            <w:u w:val="single"/>
            <w:lang w:eastAsia="en-IE"/>
          </w:rPr>
          <w:t>)</w:t>
        </w:r>
      </w:hyperlink>
      <w:r w:rsidR="001676D2" w:rsidRPr="001676D2">
        <w:rPr>
          <w:rFonts w:ascii="Times New Roman" w:eastAsia="Times New Roman" w:hAnsi="Times New Roman" w:cs="Times New Roman"/>
          <w:color w:val="444444"/>
          <w:lang w:eastAsia="en-IE"/>
        </w:rPr>
        <w:t>  “Relevant provisions” means those provisions of any authorisation or decision except for the enforcement provisions of any authorisation or decision (which shall be governed by these clauses).</w:t>
      </w:r>
    </w:p>
    <w:p w14:paraId="3555C584" w14:textId="77777777" w:rsidR="001676D2" w:rsidRPr="001676D2" w:rsidRDefault="0041510A" w:rsidP="001676D2">
      <w:pPr>
        <w:shd w:val="clear" w:color="auto" w:fill="FFFFFF"/>
        <w:spacing w:before="60" w:after="60" w:line="312" w:lineRule="atLeast"/>
        <w:jc w:val="both"/>
        <w:rPr>
          <w:rFonts w:ascii="Times New Roman" w:eastAsia="Times New Roman" w:hAnsi="Times New Roman" w:cs="Times New Roman"/>
          <w:color w:val="444444"/>
          <w:lang w:eastAsia="en-IE"/>
        </w:rPr>
      </w:pPr>
      <w:hyperlink r:id="rId9" w:anchor="ntc2-L_2004385EN.01007702-E0002" w:history="1">
        <w:r w:rsidR="001676D2" w:rsidRPr="001676D2">
          <w:rPr>
            <w:rFonts w:ascii="Times New Roman" w:eastAsia="Times New Roman" w:hAnsi="Times New Roman" w:cs="Times New Roman"/>
            <w:color w:val="800080"/>
            <w:u w:val="single"/>
            <w:lang w:eastAsia="en-IE"/>
          </w:rPr>
          <w:t>(</w:t>
        </w:r>
        <w:r w:rsidR="001676D2" w:rsidRPr="001676D2">
          <w:rPr>
            <w:rFonts w:ascii="Times New Roman" w:eastAsia="Times New Roman" w:hAnsi="Times New Roman" w:cs="Times New Roman"/>
            <w:color w:val="800080"/>
            <w:sz w:val="15"/>
            <w:szCs w:val="15"/>
            <w:vertAlign w:val="superscript"/>
            <w:lang w:eastAsia="en-IE"/>
          </w:rPr>
          <w:t>2</w:t>
        </w:r>
        <w:r w:rsidR="001676D2" w:rsidRPr="001676D2">
          <w:rPr>
            <w:rFonts w:ascii="Times New Roman" w:eastAsia="Times New Roman" w:hAnsi="Times New Roman" w:cs="Times New Roman"/>
            <w:color w:val="800080"/>
            <w:u w:val="single"/>
            <w:lang w:eastAsia="en-IE"/>
          </w:rPr>
          <w:t>)</w:t>
        </w:r>
      </w:hyperlink>
      <w:r w:rsidR="001676D2" w:rsidRPr="001676D2">
        <w:rPr>
          <w:rFonts w:ascii="Times New Roman" w:eastAsia="Times New Roman" w:hAnsi="Times New Roman" w:cs="Times New Roman"/>
          <w:color w:val="444444"/>
          <w:lang w:eastAsia="en-IE"/>
        </w:rPr>
        <w:t>  However, the provisions of Annex A.5 concerning rights of access, rectification, deletion and objection must be applied when this option is chosen and take precedence over any comparable provisions of the Commission Decision selected.</w:t>
      </w:r>
    </w:p>
    <w:p w14:paraId="2DD9414A" w14:textId="77777777" w:rsidR="0072413E" w:rsidRDefault="0072413E"/>
    <w:sectPr w:rsidR="0072413E" w:rsidSect="001676D2">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363C"/>
    <w:multiLevelType w:val="hybridMultilevel"/>
    <w:tmpl w:val="AA8A09C4"/>
    <w:lvl w:ilvl="0" w:tplc="483A6D2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F4371A8"/>
    <w:multiLevelType w:val="hybridMultilevel"/>
    <w:tmpl w:val="2C504D8E"/>
    <w:lvl w:ilvl="0" w:tplc="483A6D2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D2"/>
    <w:rsid w:val="001676D2"/>
    <w:rsid w:val="003C03C3"/>
    <w:rsid w:val="0041510A"/>
    <w:rsid w:val="0072413E"/>
    <w:rsid w:val="0093676A"/>
    <w:rsid w:val="00D835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345916"/>
  <w15:chartTrackingRefBased/>
  <w15:docId w15:val="{7064F4FF-8C2E-4FD6-86A2-765D71FC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1676D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1676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676D2"/>
    <w:rPr>
      <w:color w:val="0000FF"/>
      <w:u w:val="single"/>
    </w:rPr>
  </w:style>
  <w:style w:type="character" w:customStyle="1" w:styleId="super">
    <w:name w:val="super"/>
    <w:basedOn w:val="DefaultParagraphFont"/>
    <w:rsid w:val="001676D2"/>
  </w:style>
  <w:style w:type="paragraph" w:customStyle="1" w:styleId="doc-ti">
    <w:name w:val="doc-ti"/>
    <w:basedOn w:val="Normal"/>
    <w:rsid w:val="001676D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image">
    <w:name w:val="image"/>
    <w:basedOn w:val="Normal"/>
    <w:rsid w:val="001676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talic">
    <w:name w:val="italic"/>
    <w:basedOn w:val="DefaultParagraphFont"/>
    <w:rsid w:val="001676D2"/>
  </w:style>
  <w:style w:type="paragraph" w:customStyle="1" w:styleId="note">
    <w:name w:val="note"/>
    <w:basedOn w:val="Normal"/>
    <w:rsid w:val="001676D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6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385187">
      <w:bodyDiv w:val="1"/>
      <w:marLeft w:val="0"/>
      <w:marRight w:val="0"/>
      <w:marTop w:val="0"/>
      <w:marBottom w:val="0"/>
      <w:divBdr>
        <w:top w:val="none" w:sz="0" w:space="0" w:color="auto"/>
        <w:left w:val="none" w:sz="0" w:space="0" w:color="auto"/>
        <w:bottom w:val="none" w:sz="0" w:space="0" w:color="auto"/>
        <w:right w:val="none" w:sz="0" w:space="0" w:color="auto"/>
      </w:divBdr>
      <w:divsChild>
        <w:div w:id="433676381">
          <w:marLeft w:val="0"/>
          <w:marRight w:val="0"/>
          <w:marTop w:val="0"/>
          <w:marBottom w:val="0"/>
          <w:divBdr>
            <w:top w:val="none" w:sz="0" w:space="0" w:color="auto"/>
            <w:left w:val="none" w:sz="0" w:space="0" w:color="auto"/>
            <w:bottom w:val="none" w:sz="0" w:space="0" w:color="auto"/>
            <w:right w:val="none" w:sz="0" w:space="0" w:color="auto"/>
          </w:divBdr>
          <w:divsChild>
            <w:div w:id="1968968566">
              <w:marLeft w:val="0"/>
              <w:marRight w:val="0"/>
              <w:marTop w:val="0"/>
              <w:marBottom w:val="0"/>
              <w:divBdr>
                <w:top w:val="none" w:sz="0" w:space="0" w:color="auto"/>
                <w:left w:val="none" w:sz="0" w:space="0" w:color="auto"/>
                <w:bottom w:val="none" w:sz="0" w:space="0" w:color="auto"/>
                <w:right w:val="none" w:sz="0" w:space="0" w:color="auto"/>
              </w:divBdr>
              <w:divsChild>
                <w:div w:id="1910067526">
                  <w:marLeft w:val="0"/>
                  <w:marRight w:val="0"/>
                  <w:marTop w:val="0"/>
                  <w:marBottom w:val="0"/>
                  <w:divBdr>
                    <w:top w:val="none" w:sz="0" w:space="0" w:color="auto"/>
                    <w:left w:val="none" w:sz="0" w:space="0" w:color="auto"/>
                    <w:bottom w:val="none" w:sz="0" w:space="0" w:color="auto"/>
                    <w:right w:val="none" w:sz="0" w:space="0" w:color="auto"/>
                  </w:divBdr>
                </w:div>
                <w:div w:id="1984775360">
                  <w:marLeft w:val="0"/>
                  <w:marRight w:val="0"/>
                  <w:marTop w:val="0"/>
                  <w:marBottom w:val="0"/>
                  <w:divBdr>
                    <w:top w:val="none" w:sz="0" w:space="0" w:color="auto"/>
                    <w:left w:val="none" w:sz="0" w:space="0" w:color="auto"/>
                    <w:bottom w:val="none" w:sz="0" w:space="0" w:color="auto"/>
                    <w:right w:val="none" w:sz="0" w:space="0" w:color="auto"/>
                  </w:divBdr>
                </w:div>
                <w:div w:id="1897859706">
                  <w:marLeft w:val="0"/>
                  <w:marRight w:val="0"/>
                  <w:marTop w:val="0"/>
                  <w:marBottom w:val="0"/>
                  <w:divBdr>
                    <w:top w:val="none" w:sz="0" w:space="0" w:color="auto"/>
                    <w:left w:val="none" w:sz="0" w:space="0" w:color="auto"/>
                    <w:bottom w:val="none" w:sz="0" w:space="0" w:color="auto"/>
                    <w:right w:val="none" w:sz="0" w:space="0" w:color="auto"/>
                  </w:divBdr>
                  <w:divsChild>
                    <w:div w:id="665668729">
                      <w:marLeft w:val="0"/>
                      <w:marRight w:val="0"/>
                      <w:marTop w:val="0"/>
                      <w:marBottom w:val="0"/>
                      <w:divBdr>
                        <w:top w:val="none" w:sz="0" w:space="0" w:color="auto"/>
                        <w:left w:val="none" w:sz="0" w:space="0" w:color="auto"/>
                        <w:bottom w:val="none" w:sz="0" w:space="0" w:color="auto"/>
                        <w:right w:val="none" w:sz="0" w:space="0" w:color="auto"/>
                      </w:divBdr>
                    </w:div>
                    <w:div w:id="1784689738">
                      <w:marLeft w:val="0"/>
                      <w:marRight w:val="0"/>
                      <w:marTop w:val="0"/>
                      <w:marBottom w:val="0"/>
                      <w:divBdr>
                        <w:top w:val="none" w:sz="0" w:space="0" w:color="auto"/>
                        <w:left w:val="none" w:sz="0" w:space="0" w:color="auto"/>
                        <w:bottom w:val="none" w:sz="0" w:space="0" w:color="auto"/>
                        <w:right w:val="none" w:sz="0" w:space="0" w:color="auto"/>
                      </w:divBdr>
                    </w:div>
                    <w:div w:id="517158787">
                      <w:marLeft w:val="0"/>
                      <w:marRight w:val="0"/>
                      <w:marTop w:val="0"/>
                      <w:marBottom w:val="0"/>
                      <w:divBdr>
                        <w:top w:val="none" w:sz="0" w:space="0" w:color="auto"/>
                        <w:left w:val="none" w:sz="0" w:space="0" w:color="auto"/>
                        <w:bottom w:val="none" w:sz="0" w:space="0" w:color="auto"/>
                        <w:right w:val="none" w:sz="0" w:space="0" w:color="auto"/>
                      </w:divBdr>
                    </w:div>
                    <w:div w:id="7252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04D091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uri=CELEX%3A32004D0915" TargetMode="External"/><Relationship Id="rId11" Type="http://schemas.openxmlformats.org/officeDocument/2006/relationships/theme" Target="theme/theme1.xml"/><Relationship Id="rId5" Type="http://schemas.openxmlformats.org/officeDocument/2006/relationships/hyperlink" Target="https://eur-lex.europa.eu/legal-content/EN/TXT/?uri=CELEX%3A32004D09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uri=CELEX%3A32004D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3286</Words>
  <Characters>18732</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Doyle</dc:creator>
  <cp:keywords/>
  <dc:description/>
  <cp:lastModifiedBy>Conor Godson</cp:lastModifiedBy>
  <cp:revision>2</cp:revision>
  <dcterms:created xsi:type="dcterms:W3CDTF">2020-12-10T09:13:00Z</dcterms:created>
  <dcterms:modified xsi:type="dcterms:W3CDTF">2020-12-10T09:13:00Z</dcterms:modified>
</cp:coreProperties>
</file>