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8B" w:rsidRDefault="003A16F9" w:rsidP="00D3588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DNR Consent and Order</w:t>
      </w:r>
    </w:p>
    <w:p w:rsidR="003A16F9" w:rsidRPr="003A16F9" w:rsidRDefault="003A16F9">
      <w:pPr>
        <w:rPr>
          <w:rFonts w:cstheme="minorHAnsi"/>
          <w:color w:val="171E24"/>
          <w:position w:val="6"/>
        </w:rPr>
      </w:pPr>
      <w:r w:rsidRPr="003A16F9">
        <w:rPr>
          <w:rFonts w:cstheme="minorHAnsi"/>
          <w:color w:val="171E24"/>
          <w:position w:val="6"/>
        </w:rPr>
        <w:t xml:space="preserve">The 2017 Texas Legislature added new Subchapter E to the Health &amp; Safety Code Chapter 166, entitled </w:t>
      </w:r>
      <w:r w:rsidRPr="003A16F9">
        <w:rPr>
          <w:rStyle w:val="Strong"/>
          <w:rFonts w:cstheme="minorHAnsi"/>
          <w:color w:val="171E24"/>
          <w:position w:val="6"/>
        </w:rPr>
        <w:t xml:space="preserve">“Health Care Facility Do-Not-Resuscitate Orders.” </w:t>
      </w:r>
      <w:r w:rsidRPr="003A16F9">
        <w:rPr>
          <w:rFonts w:cstheme="minorHAnsi"/>
          <w:color w:val="171E24"/>
          <w:position w:val="6"/>
        </w:rPr>
        <w:t>The new law establishes requirements for the issuance of a DNR order</w:t>
      </w:r>
      <w:r>
        <w:rPr>
          <w:rFonts w:cstheme="minorHAnsi"/>
          <w:color w:val="171E24"/>
          <w:position w:val="6"/>
        </w:rPr>
        <w:t>.</w:t>
      </w:r>
    </w:p>
    <w:p w:rsidR="003A16F9" w:rsidRPr="003A16F9" w:rsidRDefault="003A16F9" w:rsidP="003A16F9">
      <w:pPr>
        <w:pStyle w:val="NormalWeb"/>
        <w:numPr>
          <w:ilvl w:val="0"/>
          <w:numId w:val="2"/>
        </w:numPr>
        <w:spacing w:before="0" w:beforeAutospacing="0" w:after="300" w:afterAutospacing="0"/>
        <w:ind w:left="360"/>
        <w:rPr>
          <w:rFonts w:asciiTheme="minorHAnsi" w:hAnsiTheme="minorHAnsi" w:cstheme="minorHAnsi"/>
          <w:color w:val="171E24"/>
          <w:position w:val="6"/>
          <w:sz w:val="22"/>
          <w:szCs w:val="22"/>
        </w:rPr>
      </w:pPr>
      <w:r w:rsidRPr="003A16F9">
        <w:rPr>
          <w:rStyle w:val="Strong"/>
          <w:rFonts w:asciiTheme="minorHAnsi" w:hAnsiTheme="minorHAnsi" w:cstheme="minorHAnsi"/>
          <w:color w:val="FF0000"/>
          <w:position w:val="6"/>
          <w:sz w:val="22"/>
          <w:szCs w:val="22"/>
        </w:rPr>
        <w:t>INPATIENTS</w:t>
      </w:r>
      <w:r w:rsidRPr="003A16F9">
        <w:rPr>
          <w:rFonts w:asciiTheme="minorHAnsi" w:hAnsiTheme="minorHAnsi" w:cstheme="minorHAnsi"/>
          <w:color w:val="171E24"/>
          <w:position w:val="6"/>
          <w:sz w:val="22"/>
          <w:szCs w:val="22"/>
        </w:rPr>
        <w:t xml:space="preserve">. The law applies to patients who are </w:t>
      </w:r>
      <w:r w:rsidRPr="003A16F9">
        <w:rPr>
          <w:rStyle w:val="Strong"/>
          <w:rFonts w:asciiTheme="minorHAnsi" w:hAnsiTheme="minorHAnsi" w:cstheme="minorHAnsi"/>
          <w:color w:val="171E24"/>
          <w:position w:val="6"/>
          <w:sz w:val="22"/>
          <w:szCs w:val="22"/>
        </w:rPr>
        <w:t xml:space="preserve">admitted </w:t>
      </w:r>
      <w:r w:rsidRPr="003A16F9">
        <w:rPr>
          <w:rFonts w:asciiTheme="minorHAnsi" w:hAnsiTheme="minorHAnsi" w:cstheme="minorHAnsi"/>
          <w:color w:val="171E24"/>
          <w:position w:val="6"/>
          <w:sz w:val="22"/>
          <w:szCs w:val="22"/>
        </w:rPr>
        <w:t xml:space="preserve">to UMC under observation or as an inpatient. This does not include outpatient settings such </w:t>
      </w:r>
      <w:r w:rsidR="00F74C19">
        <w:rPr>
          <w:rFonts w:asciiTheme="minorHAnsi" w:hAnsiTheme="minorHAnsi" w:cstheme="minorHAnsi"/>
          <w:color w:val="171E24"/>
          <w:position w:val="6"/>
          <w:sz w:val="22"/>
          <w:szCs w:val="22"/>
        </w:rPr>
        <w:t xml:space="preserve">as </w:t>
      </w:r>
      <w:r w:rsidRPr="003A16F9">
        <w:rPr>
          <w:rFonts w:asciiTheme="minorHAnsi" w:hAnsiTheme="minorHAnsi" w:cstheme="minorHAnsi"/>
          <w:color w:val="171E24"/>
          <w:position w:val="6"/>
          <w:sz w:val="22"/>
          <w:szCs w:val="22"/>
        </w:rPr>
        <w:t>radiology, clinical laboratory, Southwest Cancer Center, home health, outpatient rehab, and emergency center. For outpatient areas, continue to honor the Texas “Out-of-Hospital Do-Not-Resuscitate Order” if the patient has one.</w:t>
      </w:r>
    </w:p>
    <w:p w:rsidR="003A16F9" w:rsidRPr="003A16F9" w:rsidRDefault="003A16F9" w:rsidP="003A16F9">
      <w:pPr>
        <w:pStyle w:val="NormalWeb"/>
        <w:numPr>
          <w:ilvl w:val="0"/>
          <w:numId w:val="2"/>
        </w:numPr>
        <w:spacing w:before="0" w:beforeAutospacing="0" w:after="300" w:afterAutospacing="0"/>
        <w:ind w:left="360"/>
        <w:rPr>
          <w:rFonts w:asciiTheme="minorHAnsi" w:hAnsiTheme="minorHAnsi" w:cstheme="minorHAnsi"/>
          <w:color w:val="171E24"/>
          <w:position w:val="6"/>
          <w:sz w:val="22"/>
          <w:szCs w:val="22"/>
        </w:rPr>
      </w:pPr>
      <w:r w:rsidRPr="003A16F9">
        <w:rPr>
          <w:rStyle w:val="Strong"/>
          <w:rFonts w:asciiTheme="minorHAnsi" w:hAnsiTheme="minorHAnsi" w:cstheme="minorHAnsi"/>
          <w:color w:val="FF0000"/>
          <w:position w:val="6"/>
          <w:sz w:val="22"/>
          <w:szCs w:val="22"/>
        </w:rPr>
        <w:t>INFORMATION</w:t>
      </w:r>
      <w:r w:rsidRPr="003A16F9">
        <w:rPr>
          <w:rFonts w:asciiTheme="minorHAnsi" w:hAnsiTheme="minorHAnsi" w:cstheme="minorHAnsi"/>
          <w:color w:val="171E24"/>
          <w:position w:val="6"/>
          <w:sz w:val="22"/>
          <w:szCs w:val="22"/>
        </w:rPr>
        <w:t xml:space="preserve">. </w:t>
      </w:r>
      <w:r w:rsidRPr="003A16F9">
        <w:rPr>
          <w:rStyle w:val="Strong"/>
          <w:rFonts w:asciiTheme="minorHAnsi" w:hAnsiTheme="minorHAnsi" w:cstheme="minorHAnsi"/>
          <w:color w:val="171E24"/>
          <w:position w:val="6"/>
          <w:sz w:val="22"/>
          <w:szCs w:val="22"/>
        </w:rPr>
        <w:t>Upon admission</w:t>
      </w:r>
      <w:r w:rsidRPr="003A16F9">
        <w:rPr>
          <w:rFonts w:asciiTheme="minorHAnsi" w:hAnsiTheme="minorHAnsi" w:cstheme="minorHAnsi"/>
          <w:color w:val="171E24"/>
          <w:position w:val="6"/>
          <w:sz w:val="22"/>
          <w:szCs w:val="22"/>
        </w:rPr>
        <w:t xml:space="preserve">, UMC must provide the patient, or the person authorized to make treatment decisions on behalf of the patient, </w:t>
      </w:r>
      <w:r w:rsidRPr="003A16F9">
        <w:rPr>
          <w:rStyle w:val="Strong"/>
          <w:rFonts w:asciiTheme="minorHAnsi" w:hAnsiTheme="minorHAnsi" w:cstheme="minorHAnsi"/>
          <w:color w:val="171E24"/>
          <w:position w:val="6"/>
          <w:sz w:val="22"/>
          <w:szCs w:val="22"/>
        </w:rPr>
        <w:t xml:space="preserve">information </w:t>
      </w:r>
      <w:r w:rsidRPr="003A16F9">
        <w:rPr>
          <w:rFonts w:asciiTheme="minorHAnsi" w:hAnsiTheme="minorHAnsi" w:cstheme="minorHAnsi"/>
          <w:color w:val="171E24"/>
          <w:position w:val="6"/>
          <w:sz w:val="22"/>
          <w:szCs w:val="22"/>
        </w:rPr>
        <w:t>about Advance Directives and DNR Orders.</w:t>
      </w:r>
    </w:p>
    <w:p w:rsidR="003A16F9" w:rsidRPr="003A16F9" w:rsidRDefault="003A16F9" w:rsidP="003A16F9">
      <w:pPr>
        <w:pStyle w:val="NormalWeb"/>
        <w:numPr>
          <w:ilvl w:val="0"/>
          <w:numId w:val="2"/>
        </w:numPr>
        <w:spacing w:before="0" w:beforeAutospacing="0" w:after="300" w:afterAutospacing="0"/>
        <w:ind w:left="360"/>
        <w:rPr>
          <w:rFonts w:asciiTheme="minorHAnsi" w:hAnsiTheme="minorHAnsi" w:cstheme="minorHAnsi"/>
          <w:color w:val="171E24"/>
          <w:position w:val="6"/>
          <w:sz w:val="22"/>
          <w:szCs w:val="22"/>
        </w:rPr>
      </w:pPr>
      <w:r w:rsidRPr="003A16F9">
        <w:rPr>
          <w:rStyle w:val="Strong"/>
          <w:rFonts w:asciiTheme="minorHAnsi" w:hAnsiTheme="minorHAnsi" w:cstheme="minorHAnsi"/>
          <w:color w:val="FF0000"/>
          <w:position w:val="6"/>
          <w:sz w:val="22"/>
          <w:szCs w:val="22"/>
        </w:rPr>
        <w:t>CONSENT</w:t>
      </w:r>
      <w:r w:rsidRPr="003A16F9">
        <w:rPr>
          <w:rFonts w:asciiTheme="minorHAnsi" w:hAnsiTheme="minorHAnsi" w:cstheme="minorHAnsi"/>
          <w:color w:val="171E24"/>
          <w:position w:val="6"/>
          <w:sz w:val="22"/>
          <w:szCs w:val="22"/>
        </w:rPr>
        <w:t xml:space="preserve">. </w:t>
      </w:r>
      <w:r w:rsidRPr="003A16F9">
        <w:rPr>
          <w:rFonts w:asciiTheme="minorHAnsi" w:hAnsiTheme="minorHAnsi" w:cstheme="minorHAnsi"/>
          <w:color w:val="171E24"/>
          <w:position w:val="6"/>
          <w:sz w:val="22"/>
          <w:szCs w:val="22"/>
          <w:highlight w:val="yellow"/>
        </w:rPr>
        <w:t xml:space="preserve">The </w:t>
      </w:r>
      <w:r w:rsidRPr="003A16F9">
        <w:rPr>
          <w:rStyle w:val="Strong"/>
          <w:rFonts w:asciiTheme="minorHAnsi" w:hAnsiTheme="minorHAnsi" w:cstheme="minorHAnsi"/>
          <w:color w:val="171E24"/>
          <w:position w:val="6"/>
          <w:sz w:val="22"/>
          <w:szCs w:val="22"/>
          <w:highlight w:val="yellow"/>
        </w:rPr>
        <w:t xml:space="preserve">consent </w:t>
      </w:r>
      <w:r w:rsidRPr="003A16F9">
        <w:rPr>
          <w:rFonts w:asciiTheme="minorHAnsi" w:hAnsiTheme="minorHAnsi" w:cstheme="minorHAnsi"/>
          <w:color w:val="171E24"/>
          <w:position w:val="6"/>
          <w:sz w:val="22"/>
          <w:szCs w:val="22"/>
          <w:highlight w:val="yellow"/>
        </w:rPr>
        <w:t xml:space="preserve">of the patient or patient’s surrogate decision-maker is </w:t>
      </w:r>
      <w:r w:rsidRPr="003A16F9">
        <w:rPr>
          <w:rStyle w:val="Strong"/>
          <w:rFonts w:asciiTheme="minorHAnsi" w:hAnsiTheme="minorHAnsi" w:cstheme="minorHAnsi"/>
          <w:color w:val="171E24"/>
          <w:position w:val="6"/>
          <w:sz w:val="22"/>
          <w:szCs w:val="22"/>
          <w:highlight w:val="yellow"/>
        </w:rPr>
        <w:t xml:space="preserve">necessary </w:t>
      </w:r>
      <w:r w:rsidRPr="003A16F9">
        <w:rPr>
          <w:rFonts w:asciiTheme="minorHAnsi" w:hAnsiTheme="minorHAnsi" w:cstheme="minorHAnsi"/>
          <w:color w:val="171E24"/>
          <w:position w:val="6"/>
          <w:sz w:val="22"/>
          <w:szCs w:val="22"/>
          <w:highlight w:val="yellow"/>
        </w:rPr>
        <w:t>for a DNR order</w:t>
      </w:r>
      <w:r w:rsidRPr="003A16F9">
        <w:rPr>
          <w:rFonts w:asciiTheme="minorHAnsi" w:hAnsiTheme="minorHAnsi" w:cstheme="minorHAnsi"/>
          <w:color w:val="171E24"/>
          <w:position w:val="6"/>
          <w:sz w:val="22"/>
          <w:szCs w:val="22"/>
        </w:rPr>
        <w:t xml:space="preserve"> except in very limited circumstances. Use the UMC DNR Consent form.</w:t>
      </w:r>
      <w:r>
        <w:rPr>
          <w:rFonts w:asciiTheme="minorHAnsi" w:hAnsiTheme="minorHAnsi" w:cstheme="minorHAnsi"/>
          <w:color w:val="171E24"/>
          <w:position w:val="6"/>
          <w:sz w:val="22"/>
          <w:szCs w:val="22"/>
        </w:rPr>
        <w:t xml:space="preserve"> This form can be printed by any HUC or nurse and is located on the UMC Intranet with other consent forms.</w:t>
      </w:r>
      <w:r w:rsidRPr="003A16F9">
        <w:rPr>
          <w:rFonts w:asciiTheme="minorHAnsi" w:hAnsiTheme="minorHAnsi" w:cstheme="minorHAnsi"/>
          <w:noProof/>
          <w:color w:val="171E24"/>
          <w:position w:val="6"/>
          <w:sz w:val="22"/>
          <w:szCs w:val="22"/>
        </w:rPr>
        <w:drawing>
          <wp:inline distT="0" distB="0" distL="0" distR="0" wp14:anchorId="5A814AAC" wp14:editId="2D1AA17F">
            <wp:extent cx="6858000" cy="23107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NR consent p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6F9" w:rsidRPr="003A16F9" w:rsidRDefault="003A16F9" w:rsidP="003A16F9">
      <w:pPr>
        <w:pStyle w:val="NormalWeb"/>
        <w:numPr>
          <w:ilvl w:val="0"/>
          <w:numId w:val="2"/>
        </w:numPr>
        <w:spacing w:before="0" w:beforeAutospacing="0" w:after="300" w:afterAutospacing="0"/>
        <w:ind w:left="360"/>
        <w:rPr>
          <w:rStyle w:val="Strong"/>
          <w:rFonts w:asciiTheme="minorHAnsi" w:hAnsiTheme="minorHAnsi" w:cstheme="minorHAnsi"/>
          <w:b w:val="0"/>
          <w:bCs w:val="0"/>
          <w:color w:val="171E24"/>
          <w:position w:val="6"/>
          <w:sz w:val="22"/>
          <w:szCs w:val="22"/>
        </w:rPr>
      </w:pPr>
      <w:r w:rsidRPr="003A16F9">
        <w:rPr>
          <w:rStyle w:val="Strong"/>
          <w:rFonts w:asciiTheme="minorHAnsi" w:hAnsiTheme="minorHAnsi" w:cstheme="minorHAnsi"/>
          <w:color w:val="FF0000"/>
          <w:position w:val="6"/>
          <w:sz w:val="22"/>
          <w:szCs w:val="22"/>
        </w:rPr>
        <w:t>ATTENDING PHYSICIAN</w:t>
      </w:r>
      <w:r w:rsidRPr="003A16F9">
        <w:rPr>
          <w:rFonts w:asciiTheme="minorHAnsi" w:hAnsiTheme="minorHAnsi" w:cstheme="minorHAnsi"/>
          <w:color w:val="171E24"/>
          <w:position w:val="6"/>
          <w:sz w:val="22"/>
          <w:szCs w:val="22"/>
        </w:rPr>
        <w:t xml:space="preserve">. </w:t>
      </w:r>
      <w:r w:rsidRPr="003A16F9">
        <w:rPr>
          <w:rFonts w:asciiTheme="minorHAnsi" w:hAnsiTheme="minorHAnsi" w:cstheme="minorHAnsi"/>
          <w:color w:val="171E24"/>
          <w:position w:val="6"/>
          <w:sz w:val="22"/>
          <w:szCs w:val="22"/>
          <w:highlight w:val="yellow"/>
        </w:rPr>
        <w:t xml:space="preserve">Only an </w:t>
      </w:r>
      <w:r w:rsidRPr="003A16F9">
        <w:rPr>
          <w:rStyle w:val="Strong"/>
          <w:rFonts w:asciiTheme="minorHAnsi" w:hAnsiTheme="minorHAnsi" w:cstheme="minorHAnsi"/>
          <w:color w:val="171E24"/>
          <w:position w:val="6"/>
          <w:sz w:val="22"/>
          <w:szCs w:val="22"/>
          <w:highlight w:val="yellow"/>
        </w:rPr>
        <w:t>Attending Physician</w:t>
      </w:r>
      <w:r w:rsidRPr="003A16F9">
        <w:rPr>
          <w:rFonts w:asciiTheme="minorHAnsi" w:hAnsiTheme="minorHAnsi" w:cstheme="minorHAnsi"/>
          <w:color w:val="171E24"/>
          <w:position w:val="6"/>
          <w:sz w:val="22"/>
          <w:szCs w:val="22"/>
          <w:highlight w:val="yellow"/>
        </w:rPr>
        <w:t xml:space="preserve"> may issue a DNR order</w:t>
      </w:r>
      <w:r w:rsidRPr="003A16F9">
        <w:rPr>
          <w:rFonts w:asciiTheme="minorHAnsi" w:hAnsiTheme="minorHAnsi" w:cstheme="minorHAnsi"/>
          <w:color w:val="171E24"/>
          <w:position w:val="6"/>
          <w:sz w:val="22"/>
          <w:szCs w:val="22"/>
        </w:rPr>
        <w:t xml:space="preserve">. The Attending Physician is the physician selected by or assigned to a patient who has primary responsibility for a patient’s treatment and care. It may include another physician within the primary physician’s service who is covering for the primary physician. </w:t>
      </w:r>
      <w:r w:rsidRPr="003A16F9">
        <w:rPr>
          <w:rStyle w:val="Strong"/>
          <w:rFonts w:asciiTheme="minorHAnsi" w:hAnsiTheme="minorHAnsi" w:cstheme="minorHAnsi"/>
          <w:color w:val="171E24"/>
          <w:position w:val="6"/>
          <w:sz w:val="22"/>
          <w:szCs w:val="22"/>
        </w:rPr>
        <w:t>It does not include resident physicians, fellows, or advanced practice providers.</w:t>
      </w:r>
      <w:r w:rsidRPr="003A16F9">
        <w:rPr>
          <w:rStyle w:val="Strong"/>
          <w:rFonts w:asciiTheme="minorHAnsi" w:hAnsiTheme="minorHAnsi" w:cstheme="minorHAnsi"/>
          <w:b w:val="0"/>
          <w:bCs w:val="0"/>
          <w:color w:val="171E24"/>
          <w:position w:val="6"/>
          <w:sz w:val="22"/>
          <w:szCs w:val="22"/>
        </w:rPr>
        <w:t xml:space="preserve"> </w:t>
      </w:r>
      <w:r w:rsidRPr="003A16F9">
        <w:rPr>
          <w:rStyle w:val="Strong"/>
          <w:rFonts w:asciiTheme="minorHAnsi" w:hAnsiTheme="minorHAnsi" w:cstheme="minorHAnsi"/>
          <w:b w:val="0"/>
          <w:bCs w:val="0"/>
          <w:color w:val="171E24"/>
          <w:position w:val="6"/>
          <w:sz w:val="22"/>
          <w:szCs w:val="22"/>
          <w:highlight w:val="yellow"/>
        </w:rPr>
        <w:t>The consent form must be valid, signed, and on the chart PRIOR to placing any order for DNR.</w:t>
      </w:r>
      <w:r w:rsidRPr="003A16F9">
        <w:rPr>
          <w:rStyle w:val="Strong"/>
          <w:rFonts w:asciiTheme="minorHAnsi" w:hAnsiTheme="minorHAnsi" w:cstheme="minorHAnsi"/>
          <w:b w:val="0"/>
          <w:bCs w:val="0"/>
          <w:color w:val="171E24"/>
          <w:position w:val="6"/>
          <w:sz w:val="22"/>
          <w:szCs w:val="22"/>
        </w:rPr>
        <w:t xml:space="preserve">  </w:t>
      </w:r>
    </w:p>
    <w:p w:rsidR="003A16F9" w:rsidRPr="003A16F9" w:rsidRDefault="003A16F9" w:rsidP="003A16F9">
      <w:pPr>
        <w:pStyle w:val="NormalWeb"/>
        <w:spacing w:before="0" w:beforeAutospacing="0" w:after="300" w:afterAutospacing="0"/>
        <w:ind w:left="360"/>
        <w:rPr>
          <w:rStyle w:val="Strong"/>
          <w:rFonts w:asciiTheme="minorHAnsi" w:hAnsiTheme="minorHAnsi" w:cstheme="minorHAnsi"/>
          <w:b w:val="0"/>
          <w:bCs w:val="0"/>
          <w:color w:val="171E24"/>
          <w:position w:val="6"/>
          <w:sz w:val="22"/>
          <w:szCs w:val="22"/>
        </w:rPr>
      </w:pPr>
      <w:r>
        <w:rPr>
          <w:noProof/>
        </w:rPr>
        <w:drawing>
          <wp:inline distT="0" distB="0" distL="0" distR="0" wp14:anchorId="3E0CEE61" wp14:editId="1121C1ED">
            <wp:extent cx="6858000" cy="15525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6F9" w:rsidRPr="003A16F9" w:rsidRDefault="003A16F9" w:rsidP="003A16F9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171E24"/>
          <w:position w:val="6"/>
          <w:sz w:val="22"/>
          <w:szCs w:val="22"/>
        </w:rPr>
      </w:pPr>
    </w:p>
    <w:p w:rsidR="003A16F9" w:rsidRPr="003A16F9" w:rsidRDefault="003A16F9" w:rsidP="003A16F9">
      <w:pPr>
        <w:spacing w:line="240" w:lineRule="auto"/>
        <w:rPr>
          <w:rFonts w:cstheme="minorHAnsi"/>
        </w:rPr>
      </w:pPr>
      <w:bookmarkStart w:id="0" w:name="_GoBack"/>
      <w:r w:rsidRPr="003A16F9">
        <w:rPr>
          <w:rStyle w:val="Strong"/>
          <w:rFonts w:cstheme="minorHAnsi"/>
          <w:i/>
          <w:iCs/>
          <w:color w:val="171E24"/>
          <w:position w:val="6"/>
        </w:rPr>
        <w:t xml:space="preserve">If you have questions, please contact Legal at 761-0995. Michael Economidis is the main point of contact for consent issues, but Lois </w:t>
      </w:r>
      <w:proofErr w:type="spellStart"/>
      <w:r w:rsidRPr="003A16F9">
        <w:rPr>
          <w:rStyle w:val="Strong"/>
          <w:rFonts w:cstheme="minorHAnsi"/>
          <w:i/>
          <w:iCs/>
          <w:color w:val="171E24"/>
          <w:position w:val="6"/>
        </w:rPr>
        <w:t>Wischkaemper</w:t>
      </w:r>
      <w:proofErr w:type="spellEnd"/>
      <w:r w:rsidRPr="003A16F9">
        <w:rPr>
          <w:rStyle w:val="Strong"/>
          <w:rFonts w:cstheme="minorHAnsi"/>
          <w:i/>
          <w:iCs/>
          <w:color w:val="171E24"/>
          <w:position w:val="6"/>
        </w:rPr>
        <w:t xml:space="preserve"> and Kristi Ward are also available</w:t>
      </w:r>
    </w:p>
    <w:bookmarkEnd w:id="0"/>
    <w:p w:rsidR="001000DC" w:rsidRDefault="001000DC"/>
    <w:sectPr w:rsidR="001000DC" w:rsidSect="00EA7F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A42"/>
    <w:multiLevelType w:val="hybridMultilevel"/>
    <w:tmpl w:val="68E2F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F4967"/>
    <w:multiLevelType w:val="multilevel"/>
    <w:tmpl w:val="636E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zMDI1MzAyNjewNDBQ0lEKTi0uzszPAykwrAUAqbY8xywAAAA="/>
  </w:docVars>
  <w:rsids>
    <w:rsidRoot w:val="001000DC"/>
    <w:rsid w:val="00083E60"/>
    <w:rsid w:val="000A2D68"/>
    <w:rsid w:val="001000DC"/>
    <w:rsid w:val="001557AA"/>
    <w:rsid w:val="00395F08"/>
    <w:rsid w:val="003A16F9"/>
    <w:rsid w:val="004134AA"/>
    <w:rsid w:val="00433B0A"/>
    <w:rsid w:val="00474056"/>
    <w:rsid w:val="0061261C"/>
    <w:rsid w:val="0061697D"/>
    <w:rsid w:val="007225C1"/>
    <w:rsid w:val="008067FC"/>
    <w:rsid w:val="00824477"/>
    <w:rsid w:val="00873339"/>
    <w:rsid w:val="00B71CE9"/>
    <w:rsid w:val="00C6017C"/>
    <w:rsid w:val="00CC6F5B"/>
    <w:rsid w:val="00CD40D8"/>
    <w:rsid w:val="00D3588B"/>
    <w:rsid w:val="00D943DB"/>
    <w:rsid w:val="00EA7F9C"/>
    <w:rsid w:val="00F064CC"/>
    <w:rsid w:val="00F7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D1F2B-194A-4FEB-88E1-88D791C5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F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16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A16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Crooks, Cari</dc:creator>
  <cp:keywords/>
  <dc:description/>
  <cp:lastModifiedBy>Hoelscher, Steph</cp:lastModifiedBy>
  <cp:revision>2</cp:revision>
  <dcterms:created xsi:type="dcterms:W3CDTF">2019-04-02T12:54:00Z</dcterms:created>
  <dcterms:modified xsi:type="dcterms:W3CDTF">2019-04-02T12:54:00Z</dcterms:modified>
</cp:coreProperties>
</file>