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5AC202" w14:textId="77777777" w:rsidR="00397CF3" w:rsidRDefault="00397CF3" w:rsidP="00397CF3">
      <w:pPr>
        <w:pStyle w:val="BodyText"/>
        <w:tabs>
          <w:tab w:val="left" w:pos="6480"/>
        </w:tabs>
        <w:ind w:left="2880"/>
        <w:rPr>
          <w:rFonts w:asciiTheme="minorHAnsi" w:hAnsiTheme="minorHAnsi" w:cstheme="minorHAnsi"/>
          <w:b/>
          <w:bCs/>
          <w:sz w:val="22"/>
        </w:rPr>
      </w:pPr>
      <w:r w:rsidRPr="00397CF3">
        <w:rPr>
          <w:rFonts w:asciiTheme="minorHAnsi" w:hAnsiTheme="minorHAnsi" w:cstheme="minorHAnsi"/>
          <w:b/>
          <w:bCs/>
          <w:noProof/>
          <w:sz w:val="22"/>
        </w:rPr>
        <w:drawing>
          <wp:inline distT="0" distB="0" distL="0" distR="0" wp14:anchorId="1BBE3B93" wp14:editId="6C002515">
            <wp:extent cx="2653402" cy="1550670"/>
            <wp:effectExtent l="0" t="0" r="0" b="0"/>
            <wp:docPr id="1" name="Picture 1" descr="V:\Logos 2015 NEW\All updated VVMF logos 2016\Sub brand logos - jpg\The Wall That Heals\For TWTH hosts ONLY - any other use ask Adam or Heidi\TWTH Logo Blue 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Logos 2015 NEW\All updated VVMF logos 2016\Sub brand logos - jpg\The Wall That Heals\For TWTH hosts ONLY - any other use ask Adam or Heidi\TWTH Logo Blue Tex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7555" cy="1576473"/>
                    </a:xfrm>
                    <a:prstGeom prst="rect">
                      <a:avLst/>
                    </a:prstGeom>
                    <a:noFill/>
                    <a:ln>
                      <a:noFill/>
                    </a:ln>
                  </pic:spPr>
                </pic:pic>
              </a:graphicData>
            </a:graphic>
          </wp:inline>
        </w:drawing>
      </w:r>
    </w:p>
    <w:p w14:paraId="0DD19076" w14:textId="77777777" w:rsidR="00397CF3" w:rsidRPr="00E01A31" w:rsidRDefault="00397CF3" w:rsidP="00FD08B9">
      <w:pPr>
        <w:pStyle w:val="BodyText"/>
        <w:tabs>
          <w:tab w:val="left" w:pos="6480"/>
        </w:tabs>
        <w:rPr>
          <w:rFonts w:asciiTheme="minorHAnsi" w:hAnsiTheme="minorHAnsi" w:cstheme="minorHAnsi"/>
          <w:b/>
          <w:bCs/>
          <w:szCs w:val="24"/>
        </w:rPr>
      </w:pPr>
    </w:p>
    <w:p w14:paraId="3B9FA827" w14:textId="49D94932" w:rsidR="00FD08B9" w:rsidRPr="00E01A31" w:rsidRDefault="002415B4" w:rsidP="4075BA9B">
      <w:pPr>
        <w:pStyle w:val="BodyText"/>
        <w:tabs>
          <w:tab w:val="left" w:pos="6480"/>
        </w:tabs>
        <w:rPr>
          <w:rFonts w:ascii="Times New Roman" w:hAnsi="Times New Roman"/>
          <w:b/>
          <w:bCs/>
        </w:rPr>
      </w:pPr>
      <w:r w:rsidRPr="4075BA9B">
        <w:rPr>
          <w:rFonts w:ascii="Times New Roman" w:hAnsi="Times New Roman"/>
          <w:b/>
          <w:bCs/>
        </w:rPr>
        <w:t xml:space="preserve">November 26, </w:t>
      </w:r>
      <w:proofErr w:type="gramStart"/>
      <w:r w:rsidRPr="4075BA9B">
        <w:rPr>
          <w:rFonts w:ascii="Times New Roman" w:hAnsi="Times New Roman"/>
          <w:b/>
          <w:bCs/>
        </w:rPr>
        <w:t>2024</w:t>
      </w:r>
      <w:proofErr w:type="gramEnd"/>
      <w:r w:rsidR="0141BA03" w:rsidRPr="4075BA9B">
        <w:rPr>
          <w:rFonts w:ascii="Times New Roman" w:hAnsi="Times New Roman"/>
          <w:b/>
          <w:bCs/>
        </w:rPr>
        <w:t xml:space="preserve">                                                                         F</w:t>
      </w:r>
      <w:r w:rsidR="00FD08B9" w:rsidRPr="4075BA9B">
        <w:rPr>
          <w:rFonts w:ascii="Times New Roman" w:hAnsi="Times New Roman"/>
          <w:b/>
          <w:bCs/>
        </w:rPr>
        <w:t>or more information:</w:t>
      </w:r>
    </w:p>
    <w:p w14:paraId="7702BD3A" w14:textId="796D9A93" w:rsidR="00FD08B9" w:rsidRPr="006E2E3C" w:rsidRDefault="00FD08B9" w:rsidP="4075BA9B">
      <w:pPr>
        <w:pStyle w:val="BodyText"/>
        <w:tabs>
          <w:tab w:val="left" w:pos="6480"/>
        </w:tabs>
        <w:rPr>
          <w:rFonts w:ascii="Times New Roman" w:hAnsi="Times New Roman"/>
        </w:rPr>
      </w:pPr>
      <w:r w:rsidRPr="4075BA9B">
        <w:rPr>
          <w:rFonts w:ascii="Times New Roman" w:hAnsi="Times New Roman"/>
          <w:b/>
          <w:bCs/>
        </w:rPr>
        <w:t>FOR IMMEDIATE RELEASE</w:t>
      </w:r>
      <w:r w:rsidR="00F05CBA" w:rsidRPr="4075BA9B">
        <w:rPr>
          <w:rFonts w:ascii="Times New Roman" w:hAnsi="Times New Roman"/>
        </w:rPr>
        <w:t xml:space="preserve">                                              </w:t>
      </w:r>
      <w:r w:rsidR="00F777A9" w:rsidRPr="4075BA9B">
        <w:rPr>
          <w:rFonts w:ascii="Times New Roman" w:hAnsi="Times New Roman"/>
        </w:rPr>
        <w:t xml:space="preserve">      </w:t>
      </w:r>
      <w:r w:rsidR="00F83104" w:rsidRPr="006E2E3C">
        <w:rPr>
          <w:rFonts w:ascii="Times New Roman" w:hAnsi="Times New Roman"/>
        </w:rPr>
        <w:t>Derek Muller</w:t>
      </w:r>
    </w:p>
    <w:p w14:paraId="3F224AD6" w14:textId="35F82B49" w:rsidR="00FD08B9" w:rsidRPr="006E2E3C" w:rsidRDefault="00F05CBA" w:rsidP="4075BA9B">
      <w:pPr>
        <w:pStyle w:val="BodyText"/>
        <w:tabs>
          <w:tab w:val="left" w:pos="6480"/>
        </w:tabs>
        <w:rPr>
          <w:rFonts w:ascii="Times New Roman" w:hAnsi="Times New Roman"/>
        </w:rPr>
      </w:pPr>
      <w:r w:rsidRPr="006E2E3C">
        <w:rPr>
          <w:rFonts w:ascii="Times New Roman" w:hAnsi="Times New Roman"/>
        </w:rPr>
        <w:t xml:space="preserve">                                                                                           </w:t>
      </w:r>
      <w:r w:rsidR="00F777A9" w:rsidRPr="006E2E3C">
        <w:rPr>
          <w:rFonts w:ascii="Times New Roman" w:hAnsi="Times New Roman"/>
        </w:rPr>
        <w:t xml:space="preserve">             </w:t>
      </w:r>
      <w:r w:rsidR="00F777A9" w:rsidRPr="006E2E3C">
        <w:rPr>
          <w:rFonts w:ascii="Times New Roman" w:hAnsi="Times New Roman"/>
        </w:rPr>
        <w:t xml:space="preserve"> </w:t>
      </w:r>
      <w:r w:rsidR="00F777A9" w:rsidRPr="421BC92E">
        <w:rPr>
          <w:rFonts w:ascii="Times New Roman" w:hAnsi="Times New Roman"/>
        </w:rPr>
        <w:t xml:space="preserve"> </w:t>
      </w:r>
      <w:r w:rsidR="00F83104" w:rsidRPr="006E2E3C">
        <w:rPr>
          <w:rFonts w:ascii="Times New Roman" w:hAnsi="Times New Roman"/>
        </w:rPr>
        <w:t>215-393-6900</w:t>
      </w:r>
    </w:p>
    <w:p w14:paraId="4006C63B" w14:textId="38F4E4BC" w:rsidR="00FD08B9" w:rsidRDefault="00F05CBA" w:rsidP="4075BA9B">
      <w:pPr>
        <w:pStyle w:val="BodyText"/>
        <w:tabs>
          <w:tab w:val="left" w:pos="6480"/>
        </w:tabs>
        <w:rPr>
          <w:rFonts w:ascii="Times New Roman" w:hAnsi="Times New Roman"/>
        </w:rPr>
      </w:pPr>
      <w:r w:rsidRPr="4075BA9B">
        <w:rPr>
          <w:rFonts w:ascii="Times New Roman" w:hAnsi="Times New Roman"/>
        </w:rPr>
        <w:t xml:space="preserve">                                                                                           </w:t>
      </w:r>
      <w:r w:rsidR="00F777A9" w:rsidRPr="4075BA9B">
        <w:rPr>
          <w:rFonts w:ascii="Times New Roman" w:hAnsi="Times New Roman"/>
        </w:rPr>
        <w:t xml:space="preserve">            </w:t>
      </w:r>
      <w:r w:rsidR="00F777A9" w:rsidRPr="4075BA9B">
        <w:rPr>
          <w:rFonts w:ascii="Times New Roman" w:hAnsi="Times New Roman"/>
        </w:rPr>
        <w:t xml:space="preserve"> </w:t>
      </w:r>
      <w:r w:rsidR="00F777A9" w:rsidRPr="4075BA9B">
        <w:rPr>
          <w:rFonts w:ascii="Times New Roman" w:hAnsi="Times New Roman"/>
        </w:rPr>
        <w:t xml:space="preserve"> </w:t>
      </w:r>
      <w:r w:rsidR="00F777A9" w:rsidRPr="20928E1A">
        <w:rPr>
          <w:rFonts w:ascii="Times New Roman" w:hAnsi="Times New Roman"/>
        </w:rPr>
        <w:t xml:space="preserve"> </w:t>
      </w:r>
      <w:hyperlink r:id="rId11">
        <w:r w:rsidR="008C3F43" w:rsidRPr="4075BA9B">
          <w:rPr>
            <w:rStyle w:val="Hyperlink"/>
            <w:rFonts w:ascii="Times New Roman" w:hAnsi="Times New Roman"/>
          </w:rPr>
          <w:t>dmuller@montgomerytwp.org</w:t>
        </w:r>
      </w:hyperlink>
    </w:p>
    <w:p w14:paraId="3C1FAB20" w14:textId="77777777" w:rsidR="00F83104" w:rsidRPr="00F83104" w:rsidRDefault="00F83104" w:rsidP="00F83104">
      <w:pPr>
        <w:pStyle w:val="BodyText"/>
        <w:tabs>
          <w:tab w:val="left" w:pos="6480"/>
        </w:tabs>
        <w:rPr>
          <w:rFonts w:ascii="Times New Roman" w:hAnsi="Times New Roman"/>
          <w:szCs w:val="24"/>
        </w:rPr>
      </w:pPr>
    </w:p>
    <w:p w14:paraId="5EEF8F16" w14:textId="359199AF" w:rsidR="00397CF3" w:rsidRPr="00E01A31" w:rsidRDefault="00FD08B9" w:rsidP="00FD08B9">
      <w:pPr>
        <w:pStyle w:val="Heading1"/>
        <w:jc w:val="center"/>
        <w:rPr>
          <w:rFonts w:ascii="Times New Roman" w:hAnsi="Times New Roman"/>
          <w:b/>
          <w:bCs/>
          <w:sz w:val="24"/>
          <w:szCs w:val="24"/>
        </w:rPr>
      </w:pPr>
      <w:r w:rsidRPr="00E01A31">
        <w:rPr>
          <w:rFonts w:ascii="Times New Roman" w:hAnsi="Times New Roman"/>
          <w:b/>
          <w:bCs/>
          <w:i/>
          <w:sz w:val="24"/>
          <w:szCs w:val="24"/>
        </w:rPr>
        <w:t>THE WALL THAT HEALS</w:t>
      </w:r>
      <w:r w:rsidRPr="00E01A31">
        <w:rPr>
          <w:rFonts w:ascii="Times New Roman" w:hAnsi="Times New Roman"/>
          <w:b/>
          <w:bCs/>
          <w:sz w:val="24"/>
          <w:szCs w:val="24"/>
        </w:rPr>
        <w:t xml:space="preserve"> </w:t>
      </w:r>
      <w:r w:rsidR="00F379AA" w:rsidRPr="00E01A31">
        <w:rPr>
          <w:rFonts w:ascii="Times New Roman" w:hAnsi="Times New Roman"/>
          <w:b/>
          <w:bCs/>
          <w:sz w:val="24"/>
          <w:szCs w:val="24"/>
        </w:rPr>
        <w:t xml:space="preserve">IS </w:t>
      </w:r>
      <w:r w:rsidR="003B62F7" w:rsidRPr="00E01A31">
        <w:rPr>
          <w:rFonts w:ascii="Times New Roman" w:hAnsi="Times New Roman"/>
          <w:b/>
          <w:bCs/>
          <w:sz w:val="24"/>
          <w:szCs w:val="24"/>
        </w:rPr>
        <w:t>COM</w:t>
      </w:r>
      <w:r w:rsidR="00F379AA" w:rsidRPr="00E01A31">
        <w:rPr>
          <w:rFonts w:ascii="Times New Roman" w:hAnsi="Times New Roman"/>
          <w:b/>
          <w:bCs/>
          <w:sz w:val="24"/>
          <w:szCs w:val="24"/>
        </w:rPr>
        <w:t xml:space="preserve">ING TO </w:t>
      </w:r>
      <w:r w:rsidR="00376DD6">
        <w:rPr>
          <w:rFonts w:ascii="Times New Roman" w:hAnsi="Times New Roman"/>
          <w:b/>
          <w:bCs/>
          <w:sz w:val="24"/>
          <w:szCs w:val="24"/>
        </w:rPr>
        <w:t>MONTGOMERY TOWNSHIP</w:t>
      </w:r>
      <w:r w:rsidR="00397CF3" w:rsidRPr="00E01A31">
        <w:rPr>
          <w:rFonts w:ascii="Times New Roman" w:hAnsi="Times New Roman"/>
          <w:b/>
          <w:bCs/>
          <w:sz w:val="24"/>
          <w:szCs w:val="24"/>
        </w:rPr>
        <w:t xml:space="preserve"> </w:t>
      </w:r>
    </w:p>
    <w:p w14:paraId="27512E0A" w14:textId="3B49C8B4" w:rsidR="00FD08B9" w:rsidRPr="00E01A31" w:rsidRDefault="00376DD6" w:rsidP="00FD08B9">
      <w:pPr>
        <w:pStyle w:val="Heading1"/>
        <w:jc w:val="center"/>
        <w:rPr>
          <w:rFonts w:ascii="Times New Roman" w:hAnsi="Times New Roman"/>
          <w:b/>
          <w:bCs/>
          <w:sz w:val="24"/>
          <w:szCs w:val="24"/>
        </w:rPr>
      </w:pPr>
      <w:r>
        <w:rPr>
          <w:rFonts w:ascii="Times New Roman" w:hAnsi="Times New Roman"/>
          <w:b/>
          <w:bCs/>
          <w:sz w:val="24"/>
          <w:szCs w:val="24"/>
        </w:rPr>
        <w:t>FROM</w:t>
      </w:r>
      <w:r w:rsidR="00F379AA" w:rsidRPr="00E01A31">
        <w:rPr>
          <w:rFonts w:ascii="Times New Roman" w:hAnsi="Times New Roman"/>
          <w:b/>
          <w:bCs/>
          <w:sz w:val="24"/>
          <w:szCs w:val="24"/>
        </w:rPr>
        <w:t xml:space="preserve"> </w:t>
      </w:r>
      <w:r>
        <w:rPr>
          <w:rFonts w:ascii="Times New Roman" w:hAnsi="Times New Roman"/>
          <w:b/>
          <w:bCs/>
          <w:sz w:val="24"/>
          <w:szCs w:val="24"/>
        </w:rPr>
        <w:t>JULY 10</w:t>
      </w:r>
      <w:r w:rsidRPr="00376DD6">
        <w:rPr>
          <w:rFonts w:ascii="Times New Roman" w:hAnsi="Times New Roman"/>
          <w:b/>
          <w:bCs/>
          <w:sz w:val="24"/>
          <w:szCs w:val="24"/>
          <w:vertAlign w:val="superscript"/>
        </w:rPr>
        <w:t>TH</w:t>
      </w:r>
      <w:r>
        <w:rPr>
          <w:rFonts w:ascii="Times New Roman" w:hAnsi="Times New Roman"/>
          <w:b/>
          <w:bCs/>
          <w:sz w:val="24"/>
          <w:szCs w:val="24"/>
        </w:rPr>
        <w:t xml:space="preserve"> TO JULY 13</w:t>
      </w:r>
      <w:r w:rsidRPr="00376DD6">
        <w:rPr>
          <w:rFonts w:ascii="Times New Roman" w:hAnsi="Times New Roman"/>
          <w:b/>
          <w:bCs/>
          <w:sz w:val="24"/>
          <w:szCs w:val="24"/>
          <w:vertAlign w:val="superscript"/>
        </w:rPr>
        <w:t>TH</w:t>
      </w:r>
      <w:r>
        <w:rPr>
          <w:rFonts w:ascii="Times New Roman" w:hAnsi="Times New Roman"/>
          <w:b/>
          <w:bCs/>
          <w:sz w:val="24"/>
          <w:szCs w:val="24"/>
        </w:rPr>
        <w:t>, 2025</w:t>
      </w:r>
    </w:p>
    <w:p w14:paraId="705FF073" w14:textId="77777777" w:rsidR="00CF66E8" w:rsidRPr="00E01A31" w:rsidRDefault="00FD08B9" w:rsidP="00FD08B9">
      <w:pPr>
        <w:pStyle w:val="Heading2"/>
        <w:jc w:val="center"/>
        <w:rPr>
          <w:rFonts w:ascii="Times New Roman" w:hAnsi="Times New Roman"/>
          <w:i/>
          <w:iCs/>
          <w:szCs w:val="24"/>
        </w:rPr>
      </w:pPr>
      <w:r w:rsidRPr="00E01A31">
        <w:rPr>
          <w:rFonts w:ascii="Times New Roman" w:hAnsi="Times New Roman"/>
          <w:i/>
          <w:iCs/>
          <w:szCs w:val="24"/>
        </w:rPr>
        <w:t>Vietnam Veterans Memorial Replica</w:t>
      </w:r>
      <w:r w:rsidR="00CF66E8" w:rsidRPr="00E01A31">
        <w:rPr>
          <w:rFonts w:ascii="Times New Roman" w:hAnsi="Times New Roman"/>
          <w:i/>
          <w:iCs/>
          <w:szCs w:val="24"/>
        </w:rPr>
        <w:t xml:space="preserve"> Wall</w:t>
      </w:r>
      <w:r w:rsidR="00D138A8" w:rsidRPr="00E01A31">
        <w:rPr>
          <w:rFonts w:ascii="Times New Roman" w:hAnsi="Times New Roman"/>
          <w:i/>
          <w:iCs/>
          <w:szCs w:val="24"/>
        </w:rPr>
        <w:t xml:space="preserve"> and M</w:t>
      </w:r>
      <w:r w:rsidR="00CF66E8" w:rsidRPr="00E01A31">
        <w:rPr>
          <w:rFonts w:ascii="Times New Roman" w:hAnsi="Times New Roman"/>
          <w:i/>
          <w:iCs/>
          <w:szCs w:val="24"/>
        </w:rPr>
        <w:t xml:space="preserve">obile Education Center </w:t>
      </w:r>
    </w:p>
    <w:p w14:paraId="2B985C2C" w14:textId="77777777" w:rsidR="00FD08B9" w:rsidRPr="00E01A31" w:rsidRDefault="00CF66E8" w:rsidP="00FD08B9">
      <w:pPr>
        <w:pStyle w:val="Heading2"/>
        <w:jc w:val="center"/>
        <w:rPr>
          <w:rFonts w:ascii="Times New Roman" w:hAnsi="Times New Roman"/>
          <w:i/>
          <w:iCs/>
          <w:szCs w:val="24"/>
        </w:rPr>
      </w:pPr>
      <w:r w:rsidRPr="00E01A31">
        <w:rPr>
          <w:rFonts w:ascii="Times New Roman" w:hAnsi="Times New Roman"/>
          <w:i/>
          <w:iCs/>
          <w:szCs w:val="24"/>
        </w:rPr>
        <w:t>sp</w:t>
      </w:r>
      <w:r w:rsidR="00BC6BEA" w:rsidRPr="00E01A31">
        <w:rPr>
          <w:rFonts w:ascii="Times New Roman" w:hAnsi="Times New Roman"/>
          <w:i/>
          <w:iCs/>
          <w:szCs w:val="24"/>
        </w:rPr>
        <w:t>reads healing legacy of The Wall</w:t>
      </w:r>
      <w:r w:rsidR="00C07D75" w:rsidRPr="00E01A31">
        <w:rPr>
          <w:rFonts w:ascii="Times New Roman" w:hAnsi="Times New Roman"/>
          <w:i/>
          <w:iCs/>
          <w:szCs w:val="24"/>
        </w:rPr>
        <w:t xml:space="preserve"> and educates about the impact of the Vietnam War</w:t>
      </w:r>
    </w:p>
    <w:p w14:paraId="0F14C926" w14:textId="77777777" w:rsidR="00FD08B9" w:rsidRPr="00E01A31" w:rsidRDefault="00FD08B9" w:rsidP="00FD08B9">
      <w:pPr>
        <w:rPr>
          <w:szCs w:val="24"/>
        </w:rPr>
      </w:pPr>
    </w:p>
    <w:p w14:paraId="2B755D05" w14:textId="1B5B3839" w:rsidR="00E232FC" w:rsidRDefault="005407C3" w:rsidP="00F777A9">
      <w:pPr>
        <w:spacing w:line="276" w:lineRule="auto"/>
        <w:ind w:firstLine="720"/>
        <w:jc w:val="both"/>
        <w:rPr>
          <w:iCs/>
          <w:szCs w:val="24"/>
        </w:rPr>
      </w:pPr>
      <w:r>
        <w:rPr>
          <w:bCs/>
          <w:szCs w:val="24"/>
        </w:rPr>
        <w:t>Montgomery Township, Pennsylvania</w:t>
      </w:r>
      <w:r w:rsidR="00FD08B9" w:rsidRPr="00E01A31">
        <w:rPr>
          <w:szCs w:val="24"/>
        </w:rPr>
        <w:t xml:space="preserve"> – </w:t>
      </w:r>
      <w:r w:rsidR="00C07D75" w:rsidRPr="00E01A31">
        <w:rPr>
          <w:i/>
          <w:szCs w:val="24"/>
        </w:rPr>
        <w:t>The Wall That Heals</w:t>
      </w:r>
      <w:r w:rsidR="00C07D75" w:rsidRPr="00E01A31">
        <w:rPr>
          <w:szCs w:val="24"/>
        </w:rPr>
        <w:t>, a</w:t>
      </w:r>
      <w:r w:rsidR="00D138A8" w:rsidRPr="00E01A31">
        <w:rPr>
          <w:szCs w:val="24"/>
        </w:rPr>
        <w:t xml:space="preserve"> three-quarter scale </w:t>
      </w:r>
      <w:r w:rsidR="00C07D75" w:rsidRPr="00E01A31">
        <w:rPr>
          <w:szCs w:val="24"/>
        </w:rPr>
        <w:t>replica o</w:t>
      </w:r>
      <w:r w:rsidR="00D138A8" w:rsidRPr="00E01A31">
        <w:rPr>
          <w:szCs w:val="24"/>
        </w:rPr>
        <w:t>f the Vietnam Veterans Memorial</w:t>
      </w:r>
      <w:r w:rsidR="00C07D75" w:rsidRPr="00E01A31">
        <w:rPr>
          <w:szCs w:val="24"/>
        </w:rPr>
        <w:t xml:space="preserve"> along with a mobile Education Center, is coming to </w:t>
      </w:r>
      <w:r w:rsidR="00FB0A1B">
        <w:rPr>
          <w:szCs w:val="24"/>
        </w:rPr>
        <w:t xml:space="preserve">Montgomery Township, </w:t>
      </w:r>
      <w:r>
        <w:rPr>
          <w:szCs w:val="24"/>
        </w:rPr>
        <w:t>Pennsylvania</w:t>
      </w:r>
      <w:r w:rsidR="00C07D75" w:rsidRPr="00E01A31">
        <w:rPr>
          <w:szCs w:val="24"/>
        </w:rPr>
        <w:t xml:space="preserve"> on </w:t>
      </w:r>
      <w:r w:rsidR="00FB0A1B">
        <w:rPr>
          <w:szCs w:val="24"/>
        </w:rPr>
        <w:t>July 10</w:t>
      </w:r>
      <w:r w:rsidR="00FB0A1B" w:rsidRPr="00FB0A1B">
        <w:rPr>
          <w:szCs w:val="24"/>
          <w:vertAlign w:val="superscript"/>
        </w:rPr>
        <w:t>th</w:t>
      </w:r>
      <w:r w:rsidR="00FB0A1B">
        <w:rPr>
          <w:szCs w:val="24"/>
        </w:rPr>
        <w:t xml:space="preserve"> to July 13</w:t>
      </w:r>
      <w:r w:rsidR="00FB0A1B" w:rsidRPr="00FB0A1B">
        <w:rPr>
          <w:szCs w:val="24"/>
          <w:vertAlign w:val="superscript"/>
        </w:rPr>
        <w:t>th</w:t>
      </w:r>
      <w:r w:rsidR="00FB0A1B">
        <w:rPr>
          <w:szCs w:val="24"/>
        </w:rPr>
        <w:t xml:space="preserve">, </w:t>
      </w:r>
      <w:proofErr w:type="gramStart"/>
      <w:r w:rsidR="00FB0A1B">
        <w:rPr>
          <w:szCs w:val="24"/>
        </w:rPr>
        <w:t>2025</w:t>
      </w:r>
      <w:proofErr w:type="gramEnd"/>
      <w:r w:rsidR="00397CF3" w:rsidRPr="00E01A31">
        <w:rPr>
          <w:szCs w:val="24"/>
        </w:rPr>
        <w:t xml:space="preserve"> </w:t>
      </w:r>
      <w:r w:rsidR="007148E4" w:rsidRPr="00E01A31">
        <w:rPr>
          <w:szCs w:val="24"/>
        </w:rPr>
        <w:t xml:space="preserve">at </w:t>
      </w:r>
      <w:proofErr w:type="spellStart"/>
      <w:r w:rsidR="00FB0A1B">
        <w:rPr>
          <w:szCs w:val="24"/>
        </w:rPr>
        <w:t>Windlestrae</w:t>
      </w:r>
      <w:proofErr w:type="spellEnd"/>
      <w:r w:rsidR="00FB0A1B">
        <w:rPr>
          <w:szCs w:val="24"/>
        </w:rPr>
        <w:t xml:space="preserve"> Park</w:t>
      </w:r>
      <w:r w:rsidR="00397CF3" w:rsidRPr="00E01A31">
        <w:rPr>
          <w:b/>
          <w:szCs w:val="24"/>
        </w:rPr>
        <w:t xml:space="preserve"> </w:t>
      </w:r>
      <w:r w:rsidR="00C07D75" w:rsidRPr="00E01A31">
        <w:rPr>
          <w:szCs w:val="24"/>
        </w:rPr>
        <w:t>and will be open</w:t>
      </w:r>
      <w:r w:rsidR="007148E4" w:rsidRPr="00E01A31">
        <w:rPr>
          <w:szCs w:val="24"/>
        </w:rPr>
        <w:t xml:space="preserve"> 24 hours a day</w:t>
      </w:r>
      <w:r w:rsidR="00C07D75" w:rsidRPr="00E01A31">
        <w:rPr>
          <w:szCs w:val="24"/>
        </w:rPr>
        <w:t xml:space="preserve"> and free to the public. </w:t>
      </w:r>
      <w:r w:rsidR="00E232FC" w:rsidRPr="00E01A31">
        <w:rPr>
          <w:szCs w:val="24"/>
        </w:rPr>
        <w:t xml:space="preserve"> </w:t>
      </w:r>
      <w:r w:rsidR="000700C8" w:rsidRPr="00E01A31">
        <w:rPr>
          <w:i/>
          <w:szCs w:val="24"/>
        </w:rPr>
        <w:t>The Wall That Heals</w:t>
      </w:r>
      <w:r w:rsidR="000700C8" w:rsidRPr="00E01A31">
        <w:rPr>
          <w:szCs w:val="24"/>
        </w:rPr>
        <w:t xml:space="preserve"> </w:t>
      </w:r>
      <w:r w:rsidR="00E232FC" w:rsidRPr="00E01A31">
        <w:rPr>
          <w:szCs w:val="24"/>
        </w:rPr>
        <w:t xml:space="preserve">honors the more than three million Americans who served in the U.S. Armed forces </w:t>
      </w:r>
      <w:r w:rsidR="00397CF3" w:rsidRPr="00E01A31">
        <w:rPr>
          <w:szCs w:val="24"/>
        </w:rPr>
        <w:t>in</w:t>
      </w:r>
      <w:r w:rsidR="00E232FC" w:rsidRPr="00E01A31">
        <w:rPr>
          <w:szCs w:val="24"/>
        </w:rPr>
        <w:t xml:space="preserve"> the Vietnam War</w:t>
      </w:r>
      <w:r w:rsidR="008E7DD4">
        <w:rPr>
          <w:szCs w:val="24"/>
        </w:rPr>
        <w:t>,</w:t>
      </w:r>
      <w:r w:rsidR="00E232FC" w:rsidRPr="00E01A31">
        <w:rPr>
          <w:szCs w:val="24"/>
        </w:rPr>
        <w:t xml:space="preserve"> </w:t>
      </w:r>
      <w:r w:rsidR="00E232FC" w:rsidRPr="00E01A31">
        <w:rPr>
          <w:iCs/>
          <w:szCs w:val="24"/>
        </w:rPr>
        <w:t>and i</w:t>
      </w:r>
      <w:r w:rsidR="00397CF3" w:rsidRPr="00E01A31">
        <w:rPr>
          <w:iCs/>
          <w:szCs w:val="24"/>
        </w:rPr>
        <w:t>t</w:t>
      </w:r>
      <w:r w:rsidR="00E232FC" w:rsidRPr="00E01A31">
        <w:rPr>
          <w:iCs/>
          <w:szCs w:val="24"/>
        </w:rPr>
        <w:t xml:space="preserve"> bear</w:t>
      </w:r>
      <w:r w:rsidR="00397CF3" w:rsidRPr="00E01A31">
        <w:rPr>
          <w:iCs/>
          <w:szCs w:val="24"/>
        </w:rPr>
        <w:t>s</w:t>
      </w:r>
      <w:r w:rsidR="00E232FC" w:rsidRPr="00E01A31">
        <w:rPr>
          <w:iCs/>
          <w:szCs w:val="24"/>
        </w:rPr>
        <w:t xml:space="preserve"> the names of the 58,</w:t>
      </w:r>
      <w:r w:rsidR="00FB3BC6">
        <w:rPr>
          <w:iCs/>
          <w:szCs w:val="24"/>
        </w:rPr>
        <w:t>2</w:t>
      </w:r>
      <w:r w:rsidR="006B6A7F">
        <w:rPr>
          <w:iCs/>
          <w:szCs w:val="24"/>
        </w:rPr>
        <w:t>81</w:t>
      </w:r>
      <w:r w:rsidR="00E232FC" w:rsidRPr="00E01A31">
        <w:rPr>
          <w:iCs/>
          <w:szCs w:val="24"/>
        </w:rPr>
        <w:t xml:space="preserve"> men and women who made the ultimate sacrifice in Vietnam.</w:t>
      </w:r>
    </w:p>
    <w:p w14:paraId="507E54B8" w14:textId="77777777" w:rsidR="00B97A45" w:rsidRDefault="00B97A45" w:rsidP="00F777A9">
      <w:pPr>
        <w:spacing w:line="276" w:lineRule="auto"/>
        <w:ind w:firstLine="720"/>
        <w:jc w:val="both"/>
        <w:rPr>
          <w:iCs/>
          <w:szCs w:val="24"/>
        </w:rPr>
      </w:pPr>
    </w:p>
    <w:p w14:paraId="1984F0C3" w14:textId="04E1543B" w:rsidR="00B97A45" w:rsidRPr="00E01A31" w:rsidRDefault="00B171BC" w:rsidP="00B171BC">
      <w:pPr>
        <w:spacing w:line="276" w:lineRule="auto"/>
        <w:ind w:firstLine="720"/>
        <w:jc w:val="both"/>
        <w:rPr>
          <w:iCs/>
          <w:szCs w:val="24"/>
        </w:rPr>
      </w:pPr>
      <w:r>
        <w:rPr>
          <w:iCs/>
          <w:szCs w:val="24"/>
        </w:rPr>
        <w:t>“</w:t>
      </w:r>
      <w:r w:rsidRPr="00B171BC">
        <w:rPr>
          <w:iCs/>
          <w:szCs w:val="24"/>
        </w:rPr>
        <w:t>The Board of Supervisors and Township staff are honored and humbled to have been chosen to host The Wall That Heals in 2025. This is an opportunity for everyone to come together and experience a once-in-a-lifetime event and share in something that’s meaningful to so many.</w:t>
      </w:r>
      <w:r>
        <w:rPr>
          <w:iCs/>
          <w:szCs w:val="24"/>
        </w:rPr>
        <w:t xml:space="preserve"> </w:t>
      </w:r>
      <w:r w:rsidRPr="00B171BC">
        <w:rPr>
          <w:iCs/>
          <w:szCs w:val="24"/>
        </w:rPr>
        <w:t xml:space="preserve">We look forward to welcoming visitors to </w:t>
      </w:r>
      <w:proofErr w:type="spellStart"/>
      <w:r w:rsidRPr="00B171BC">
        <w:rPr>
          <w:iCs/>
          <w:szCs w:val="24"/>
        </w:rPr>
        <w:t>Windlestrae</w:t>
      </w:r>
      <w:proofErr w:type="spellEnd"/>
      <w:r w:rsidRPr="00B171BC">
        <w:rPr>
          <w:iCs/>
          <w:szCs w:val="24"/>
        </w:rPr>
        <w:t xml:space="preserve"> Park in July</w:t>
      </w:r>
      <w:r w:rsidR="004B1C52">
        <w:rPr>
          <w:iCs/>
          <w:szCs w:val="24"/>
        </w:rPr>
        <w:t>,</w:t>
      </w:r>
      <w:r w:rsidR="00B97A45" w:rsidRPr="00B171BC">
        <w:rPr>
          <w:iCs/>
          <w:szCs w:val="24"/>
        </w:rPr>
        <w:t xml:space="preserve">” said </w:t>
      </w:r>
      <w:r w:rsidR="00E849A4" w:rsidRPr="00B171BC">
        <w:rPr>
          <w:iCs/>
          <w:szCs w:val="24"/>
        </w:rPr>
        <w:t>Carolyn McCreary</w:t>
      </w:r>
      <w:r w:rsidR="00B97A45" w:rsidRPr="00B171BC">
        <w:rPr>
          <w:iCs/>
          <w:szCs w:val="24"/>
        </w:rPr>
        <w:t xml:space="preserve">, </w:t>
      </w:r>
      <w:r w:rsidR="00E849A4" w:rsidRPr="00B171BC">
        <w:rPr>
          <w:iCs/>
          <w:szCs w:val="24"/>
        </w:rPr>
        <w:t>Township Manager</w:t>
      </w:r>
      <w:r w:rsidR="00B97A45" w:rsidRPr="00B171BC">
        <w:rPr>
          <w:iCs/>
          <w:szCs w:val="24"/>
        </w:rPr>
        <w:t xml:space="preserve">, </w:t>
      </w:r>
      <w:r w:rsidR="00E849A4" w:rsidRPr="00B171BC">
        <w:rPr>
          <w:iCs/>
          <w:szCs w:val="24"/>
        </w:rPr>
        <w:t>Montgomery Township</w:t>
      </w:r>
      <w:r w:rsidR="00B97A45" w:rsidRPr="00B171BC">
        <w:rPr>
          <w:iCs/>
          <w:szCs w:val="24"/>
        </w:rPr>
        <w:t>.</w:t>
      </w:r>
      <w:r w:rsidR="00B97A45">
        <w:rPr>
          <w:iCs/>
          <w:szCs w:val="24"/>
        </w:rPr>
        <w:t xml:space="preserve"> </w:t>
      </w:r>
    </w:p>
    <w:p w14:paraId="1C151B1F" w14:textId="77777777" w:rsidR="00D4044D" w:rsidRPr="00E01A31" w:rsidRDefault="00D4044D" w:rsidP="00E232FC">
      <w:pPr>
        <w:spacing w:line="276" w:lineRule="auto"/>
        <w:ind w:firstLine="720"/>
        <w:jc w:val="both"/>
        <w:rPr>
          <w:szCs w:val="24"/>
        </w:rPr>
      </w:pPr>
    </w:p>
    <w:p w14:paraId="70BE232A" w14:textId="2679AB84" w:rsidR="00F86109" w:rsidRDefault="00946B32" w:rsidP="00EA237A">
      <w:pPr>
        <w:shd w:val="clear" w:color="auto" w:fill="FFFFFF"/>
        <w:spacing w:after="100" w:afterAutospacing="1" w:line="300" w:lineRule="atLeast"/>
        <w:ind w:firstLine="720"/>
        <w:jc w:val="both"/>
        <w:rPr>
          <w:color w:val="000000"/>
          <w:szCs w:val="24"/>
        </w:rPr>
      </w:pPr>
      <w:r w:rsidRPr="00E01A31">
        <w:rPr>
          <w:szCs w:val="24"/>
        </w:rPr>
        <w:t xml:space="preserve"> </w:t>
      </w:r>
      <w:r w:rsidR="008274F3" w:rsidRPr="00F86109">
        <w:rPr>
          <w:szCs w:val="24"/>
        </w:rPr>
        <w:t>“</w:t>
      </w:r>
      <w:r w:rsidR="000A32CC" w:rsidRPr="00F86109">
        <w:rPr>
          <w:szCs w:val="24"/>
        </w:rPr>
        <w:t xml:space="preserve">The </w:t>
      </w:r>
      <w:r w:rsidR="00932DFD" w:rsidRPr="00F86109">
        <w:rPr>
          <w:szCs w:val="24"/>
        </w:rPr>
        <w:t>V</w:t>
      </w:r>
      <w:r w:rsidR="000A32CC" w:rsidRPr="00F86109">
        <w:rPr>
          <w:szCs w:val="24"/>
        </w:rPr>
        <w:t xml:space="preserve">ietnam </w:t>
      </w:r>
      <w:r w:rsidR="00932DFD" w:rsidRPr="00F86109">
        <w:rPr>
          <w:szCs w:val="24"/>
        </w:rPr>
        <w:t>V</w:t>
      </w:r>
      <w:r w:rsidR="000A32CC" w:rsidRPr="00F86109">
        <w:rPr>
          <w:szCs w:val="24"/>
        </w:rPr>
        <w:t xml:space="preserve">eterans </w:t>
      </w:r>
      <w:r w:rsidR="00932DFD" w:rsidRPr="00F86109">
        <w:rPr>
          <w:szCs w:val="24"/>
        </w:rPr>
        <w:t>M</w:t>
      </w:r>
      <w:r w:rsidR="000A32CC" w:rsidRPr="00F86109">
        <w:rPr>
          <w:szCs w:val="24"/>
        </w:rPr>
        <w:t xml:space="preserve">emorial </w:t>
      </w:r>
      <w:r w:rsidR="00932DFD" w:rsidRPr="00F86109">
        <w:rPr>
          <w:szCs w:val="24"/>
        </w:rPr>
        <w:t>F</w:t>
      </w:r>
      <w:r w:rsidR="000A32CC" w:rsidRPr="00F86109">
        <w:rPr>
          <w:szCs w:val="24"/>
        </w:rPr>
        <w:t>und</w:t>
      </w:r>
      <w:r w:rsidR="00932DFD" w:rsidRPr="00F86109">
        <w:rPr>
          <w:szCs w:val="24"/>
        </w:rPr>
        <w:t xml:space="preserve"> is pleased to bring </w:t>
      </w:r>
      <w:r w:rsidR="00932DFD" w:rsidRPr="00F86109">
        <w:rPr>
          <w:i/>
          <w:iCs/>
          <w:color w:val="000000"/>
          <w:szCs w:val="24"/>
        </w:rPr>
        <w:t>The Wall That Heals</w:t>
      </w:r>
      <w:r w:rsidR="00932DFD" w:rsidRPr="00F86109">
        <w:rPr>
          <w:color w:val="000000"/>
          <w:szCs w:val="24"/>
        </w:rPr>
        <w:t xml:space="preserve"> mobile exhibit to </w:t>
      </w:r>
      <w:r w:rsidR="005407C3">
        <w:rPr>
          <w:color w:val="000000"/>
          <w:szCs w:val="24"/>
        </w:rPr>
        <w:t>Montgomery Township, Pennsylvania</w:t>
      </w:r>
      <w:r w:rsidR="00932DFD" w:rsidRPr="00F86109">
        <w:rPr>
          <w:color w:val="000000"/>
          <w:szCs w:val="24"/>
        </w:rPr>
        <w:t xml:space="preserve"> to allow local veterans and their family members a chance to </w:t>
      </w:r>
      <w:r w:rsidR="000A32CC" w:rsidRPr="00F86109">
        <w:rPr>
          <w:color w:val="000000"/>
          <w:szCs w:val="24"/>
        </w:rPr>
        <w:t>experience</w:t>
      </w:r>
      <w:r w:rsidR="00932DFD" w:rsidRPr="00F86109">
        <w:rPr>
          <w:color w:val="000000"/>
          <w:szCs w:val="24"/>
        </w:rPr>
        <w:t xml:space="preserve"> The Wall</w:t>
      </w:r>
      <w:r w:rsidR="003312CC">
        <w:rPr>
          <w:color w:val="000000"/>
          <w:szCs w:val="24"/>
        </w:rPr>
        <w:t>,</w:t>
      </w:r>
      <w:r w:rsidR="00932DFD" w:rsidRPr="00F86109">
        <w:rPr>
          <w:color w:val="000000"/>
          <w:szCs w:val="24"/>
        </w:rPr>
        <w:t xml:space="preserve">” said Jim Knotts, president and CEO of </w:t>
      </w:r>
      <w:r w:rsidR="000A32CC" w:rsidRPr="00F86109">
        <w:rPr>
          <w:color w:val="000000"/>
          <w:szCs w:val="24"/>
        </w:rPr>
        <w:t>VVMF</w:t>
      </w:r>
      <w:r w:rsidR="00932DFD" w:rsidRPr="00F86109">
        <w:rPr>
          <w:color w:val="000000"/>
          <w:szCs w:val="24"/>
        </w:rPr>
        <w:t>. “</w:t>
      </w:r>
      <w:r w:rsidR="006B4C62" w:rsidRPr="00F86109">
        <w:rPr>
          <w:color w:val="000000"/>
          <w:szCs w:val="24"/>
        </w:rPr>
        <w:t xml:space="preserve">Hosting </w:t>
      </w:r>
      <w:r w:rsidR="006B4C62" w:rsidRPr="00F86109">
        <w:rPr>
          <w:i/>
          <w:color w:val="000000"/>
          <w:szCs w:val="24"/>
        </w:rPr>
        <w:t>The Wall That Heals</w:t>
      </w:r>
      <w:r w:rsidR="006B4C62" w:rsidRPr="00F86109">
        <w:rPr>
          <w:color w:val="000000"/>
          <w:szCs w:val="24"/>
        </w:rPr>
        <w:t xml:space="preserve"> </w:t>
      </w:r>
      <w:r w:rsidR="000A32CC" w:rsidRPr="00F86109">
        <w:rPr>
          <w:color w:val="000000"/>
          <w:szCs w:val="24"/>
        </w:rPr>
        <w:t>provide</w:t>
      </w:r>
      <w:r w:rsidR="006B4C62" w:rsidRPr="00F86109">
        <w:rPr>
          <w:color w:val="000000"/>
          <w:szCs w:val="24"/>
        </w:rPr>
        <w:t>s</w:t>
      </w:r>
      <w:r w:rsidR="000A32CC" w:rsidRPr="00F86109">
        <w:rPr>
          <w:color w:val="000000"/>
          <w:szCs w:val="24"/>
        </w:rPr>
        <w:t xml:space="preserve"> </w:t>
      </w:r>
      <w:r w:rsidR="00932DFD" w:rsidRPr="00F86109">
        <w:rPr>
          <w:color w:val="000000"/>
          <w:szCs w:val="24"/>
        </w:rPr>
        <w:t xml:space="preserve">an opportunity </w:t>
      </w:r>
      <w:r w:rsidR="00F86109" w:rsidRPr="00F86109">
        <w:rPr>
          <w:color w:val="000000"/>
          <w:szCs w:val="24"/>
        </w:rPr>
        <w:t>to honor and remember all those who served and sacrificed in the Vietnam War and educate visitors on the continuing impact of the Vietnam War on America.”</w:t>
      </w:r>
    </w:p>
    <w:p w14:paraId="24F9E9F7" w14:textId="28DF29E6" w:rsidR="006B4C62" w:rsidRDefault="006B4C62" w:rsidP="006B4C62">
      <w:pPr>
        <w:spacing w:line="276" w:lineRule="auto"/>
        <w:ind w:firstLine="720"/>
        <w:jc w:val="both"/>
        <w:rPr>
          <w:szCs w:val="24"/>
        </w:rPr>
      </w:pPr>
      <w:r w:rsidRPr="00E01A31">
        <w:rPr>
          <w:i/>
          <w:szCs w:val="24"/>
        </w:rPr>
        <w:t>The Wall That Heals</w:t>
      </w:r>
      <w:r w:rsidRPr="00E01A31">
        <w:rPr>
          <w:szCs w:val="24"/>
        </w:rPr>
        <w:t xml:space="preserve"> is transported from community to community in a 53-foot trailer. When parked, the trailer opens with exhibits built into its sides, allowing it to serve as a mobile Education Center telling the story of the Vietnam War, The Wall and the divisive era in American history. </w:t>
      </w:r>
    </w:p>
    <w:p w14:paraId="22916786" w14:textId="77777777" w:rsidR="005A502C" w:rsidRPr="00E01A31" w:rsidRDefault="005A502C" w:rsidP="006B4C62">
      <w:pPr>
        <w:spacing w:line="276" w:lineRule="auto"/>
        <w:ind w:firstLine="720"/>
        <w:jc w:val="both"/>
        <w:rPr>
          <w:szCs w:val="24"/>
        </w:rPr>
      </w:pPr>
    </w:p>
    <w:p w14:paraId="3F3D3B66" w14:textId="77777777" w:rsidR="00AD05E9" w:rsidRPr="00E01A31" w:rsidRDefault="00AD05E9" w:rsidP="006B4C62">
      <w:pPr>
        <w:spacing w:line="276" w:lineRule="auto"/>
        <w:ind w:firstLine="720"/>
        <w:jc w:val="both"/>
        <w:rPr>
          <w:szCs w:val="24"/>
        </w:rPr>
      </w:pPr>
      <w:r w:rsidRPr="00E01A31">
        <w:rPr>
          <w:szCs w:val="24"/>
        </w:rPr>
        <w:t xml:space="preserve">The three-quarter scale Wall replica is 375 feet in length and stands 7.5 feet high at its tallest point. </w:t>
      </w:r>
      <w:r w:rsidR="005A502C">
        <w:rPr>
          <w:szCs w:val="24"/>
        </w:rPr>
        <w:t>V</w:t>
      </w:r>
      <w:r w:rsidRPr="00E01A31">
        <w:rPr>
          <w:szCs w:val="24"/>
        </w:rPr>
        <w:t xml:space="preserve">isitors </w:t>
      </w:r>
      <w:r w:rsidR="005A502C">
        <w:rPr>
          <w:szCs w:val="24"/>
        </w:rPr>
        <w:t>will</w:t>
      </w:r>
      <w:r w:rsidRPr="00E01A31">
        <w:rPr>
          <w:szCs w:val="24"/>
        </w:rPr>
        <w:t xml:space="preserve"> experience The Wall rising above them as they walk towards the apex, </w:t>
      </w:r>
      <w:r w:rsidRPr="00E01A31">
        <w:rPr>
          <w:szCs w:val="24"/>
        </w:rPr>
        <w:lastRenderedPageBreak/>
        <w:t xml:space="preserve">a key feature of the design of The Wall in D.C. </w:t>
      </w:r>
      <w:r w:rsidR="005A502C">
        <w:rPr>
          <w:szCs w:val="24"/>
        </w:rPr>
        <w:t>Visitor</w:t>
      </w:r>
      <w:r w:rsidR="008110E5" w:rsidRPr="00E01A31">
        <w:rPr>
          <w:szCs w:val="24"/>
        </w:rPr>
        <w:t xml:space="preserve">s are able to do name rubbings of individual service member’s names on The Wall. </w:t>
      </w:r>
    </w:p>
    <w:p w14:paraId="2B1C88FB" w14:textId="77777777" w:rsidR="00AD05E9" w:rsidRPr="00F777A9" w:rsidRDefault="00AD05E9" w:rsidP="00AD05E9">
      <w:pPr>
        <w:spacing w:line="276" w:lineRule="auto"/>
        <w:ind w:firstLine="720"/>
        <w:jc w:val="both"/>
        <w:rPr>
          <w:sz w:val="16"/>
          <w:szCs w:val="16"/>
        </w:rPr>
      </w:pPr>
    </w:p>
    <w:p w14:paraId="00BFBF42" w14:textId="6DA5E45E" w:rsidR="002A4FEB" w:rsidRPr="00137E01" w:rsidRDefault="002A4FEB" w:rsidP="002A4FEB">
      <w:pPr>
        <w:spacing w:line="276" w:lineRule="auto"/>
        <w:ind w:firstLine="720"/>
        <w:jc w:val="both"/>
        <w:rPr>
          <w:szCs w:val="24"/>
        </w:rPr>
      </w:pPr>
      <w:r w:rsidRPr="00137E01">
        <w:rPr>
          <w:iCs/>
          <w:szCs w:val="24"/>
        </w:rPr>
        <w:t xml:space="preserve">The mobile Education Center </w:t>
      </w:r>
      <w:r>
        <w:rPr>
          <w:iCs/>
          <w:szCs w:val="24"/>
        </w:rPr>
        <w:t>exhibit</w:t>
      </w:r>
      <w:r w:rsidRPr="00137E01">
        <w:rPr>
          <w:iCs/>
          <w:szCs w:val="24"/>
        </w:rPr>
        <w:t xml:space="preserve"> includes:</w:t>
      </w:r>
      <w:r w:rsidRPr="00137E01">
        <w:rPr>
          <w:szCs w:val="24"/>
        </w:rPr>
        <w:t xml:space="preserve"> digital photo displays of “Hometown Heroes” - service members whose names are on The Wall that list their home of record within the area of a visit; digital photo displays of Vietnam veterans from the local area honored through VVMF’s </w:t>
      </w:r>
      <w:r w:rsidRPr="00137E01">
        <w:rPr>
          <w:i/>
          <w:szCs w:val="24"/>
        </w:rPr>
        <w:t>In Memory</w:t>
      </w:r>
      <w:r w:rsidRPr="00137E01">
        <w:rPr>
          <w:szCs w:val="24"/>
        </w:rPr>
        <w:t xml:space="preserve"> program which honors veterans who returned home from Vietnam and later died; video displays that teach about the history and impact of The Wall; educational exhibits told through items</w:t>
      </w:r>
      <w:r>
        <w:rPr>
          <w:szCs w:val="24"/>
        </w:rPr>
        <w:t xml:space="preserve"> representative of those left at The Wall in D.C.</w:t>
      </w:r>
      <w:r w:rsidRPr="00137E01">
        <w:rPr>
          <w:szCs w:val="24"/>
        </w:rPr>
        <w:t xml:space="preserve">; </w:t>
      </w:r>
      <w:r>
        <w:rPr>
          <w:szCs w:val="24"/>
        </w:rPr>
        <w:t xml:space="preserve">a replica of the </w:t>
      </w:r>
      <w:r w:rsidRPr="002B3AF2">
        <w:rPr>
          <w:i/>
          <w:szCs w:val="24"/>
        </w:rPr>
        <w:t>In Memory</w:t>
      </w:r>
      <w:r>
        <w:rPr>
          <w:szCs w:val="24"/>
        </w:rPr>
        <w:t xml:space="preserve"> plaque; </w:t>
      </w:r>
      <w:r w:rsidRPr="00137E01">
        <w:rPr>
          <w:szCs w:val="24"/>
        </w:rPr>
        <w:t xml:space="preserve">a map of Vietnam and a chronological overview of the Vietnam War. </w:t>
      </w:r>
      <w:r w:rsidRPr="00E83A47">
        <w:rPr>
          <w:color w:val="000000"/>
          <w:szCs w:val="24"/>
        </w:rPr>
        <w:t>The exhibits tell the story of the Vietnam War, The Wall and the era surrounding the conflict, and are designed to put American experiences in Vietnam in a historical and cultural context.</w:t>
      </w:r>
    </w:p>
    <w:p w14:paraId="5718F1AF" w14:textId="77777777" w:rsidR="005A502C" w:rsidRPr="00E01A31" w:rsidRDefault="005A502C" w:rsidP="00AD05E9">
      <w:pPr>
        <w:spacing w:line="276" w:lineRule="auto"/>
        <w:ind w:firstLine="720"/>
        <w:jc w:val="both"/>
        <w:rPr>
          <w:szCs w:val="24"/>
        </w:rPr>
      </w:pPr>
    </w:p>
    <w:p w14:paraId="2BFB6E62" w14:textId="6EE2DAFD" w:rsidR="008E7DD4" w:rsidRDefault="008E7DD4" w:rsidP="008E7DD4">
      <w:pPr>
        <w:spacing w:line="276" w:lineRule="auto"/>
        <w:ind w:firstLine="720"/>
        <w:rPr>
          <w:szCs w:val="24"/>
        </w:rPr>
      </w:pPr>
      <w:r>
        <w:rPr>
          <w:color w:val="000000"/>
          <w:szCs w:val="24"/>
        </w:rPr>
        <w:t>USAA has returned as presenting sponsor for the national tour for the 11</w:t>
      </w:r>
      <w:r>
        <w:rPr>
          <w:color w:val="000000"/>
          <w:szCs w:val="24"/>
          <w:vertAlign w:val="superscript"/>
        </w:rPr>
        <w:t>th</w:t>
      </w:r>
      <w:r>
        <w:rPr>
          <w:color w:val="000000"/>
          <w:szCs w:val="24"/>
        </w:rPr>
        <w:t xml:space="preserve"> year. Over the past decade, they have traveled to nearly 300 communities with VVMF.  This year, </w:t>
      </w:r>
      <w:r>
        <w:rPr>
          <w:szCs w:val="24"/>
        </w:rPr>
        <w:t xml:space="preserve">VVMF also is pleased to announce a new sponsor for the 2025 season, Wipfli LLP. Headquartered in Milwaukee, Wipfli is an advisory and accounting firm with more than 3,300 associates who deliver digital, people, strategy, risk, financial and outsourcing solutions to nearly 56,000 clients. </w:t>
      </w:r>
    </w:p>
    <w:p w14:paraId="38BFA7D4" w14:textId="77777777" w:rsidR="008E7DD4" w:rsidRDefault="008E7DD4" w:rsidP="008E7DD4">
      <w:pPr>
        <w:spacing w:line="276" w:lineRule="auto"/>
        <w:ind w:firstLine="720"/>
        <w:rPr>
          <w:szCs w:val="24"/>
        </w:rPr>
      </w:pPr>
    </w:p>
    <w:p w14:paraId="72FCB4F1" w14:textId="2FECDF3A" w:rsidR="00506939" w:rsidRDefault="00506939" w:rsidP="00506939">
      <w:pPr>
        <w:spacing w:line="276" w:lineRule="auto"/>
        <w:ind w:firstLine="720"/>
        <w:jc w:val="both"/>
        <w:rPr>
          <w:szCs w:val="24"/>
          <w:highlight w:val="yellow"/>
        </w:rPr>
      </w:pPr>
      <w:r w:rsidRPr="00623D3E">
        <w:rPr>
          <w:color w:val="000000"/>
          <w:szCs w:val="24"/>
        </w:rPr>
        <w:t xml:space="preserve">Through a partnership with the Truckload Carriers Association (TCA), the trucking industry, and Blue Beacon, </w:t>
      </w:r>
      <w:r>
        <w:rPr>
          <w:color w:val="000000"/>
          <w:szCs w:val="24"/>
        </w:rPr>
        <w:t>the exhibit</w:t>
      </w:r>
      <w:r w:rsidRPr="00623D3E">
        <w:rPr>
          <w:color w:val="000000"/>
          <w:szCs w:val="24"/>
        </w:rPr>
        <w:t xml:space="preserve"> </w:t>
      </w:r>
      <w:proofErr w:type="gramStart"/>
      <w:r>
        <w:rPr>
          <w:color w:val="000000"/>
          <w:szCs w:val="24"/>
        </w:rPr>
        <w:t>is able to</w:t>
      </w:r>
      <w:proofErr w:type="gramEnd"/>
      <w:r>
        <w:rPr>
          <w:color w:val="000000"/>
          <w:szCs w:val="24"/>
        </w:rPr>
        <w:t xml:space="preserve"> </w:t>
      </w:r>
      <w:r w:rsidRPr="00623D3E">
        <w:rPr>
          <w:color w:val="000000"/>
          <w:szCs w:val="24"/>
        </w:rPr>
        <w:t>travel</w:t>
      </w:r>
      <w:r>
        <w:rPr>
          <w:color w:val="000000"/>
          <w:szCs w:val="24"/>
        </w:rPr>
        <w:t xml:space="preserve"> across the country.</w:t>
      </w:r>
      <w:r w:rsidRPr="00CC104D">
        <w:rPr>
          <w:szCs w:val="24"/>
        </w:rPr>
        <w:t xml:space="preserve"> </w:t>
      </w:r>
    </w:p>
    <w:p w14:paraId="63B67C35" w14:textId="77777777" w:rsidR="00F01F40" w:rsidRDefault="00F01F40" w:rsidP="005A502C">
      <w:pPr>
        <w:spacing w:line="276" w:lineRule="auto"/>
        <w:ind w:firstLine="720"/>
        <w:jc w:val="both"/>
        <w:rPr>
          <w:szCs w:val="24"/>
          <w:highlight w:val="yellow"/>
        </w:rPr>
      </w:pPr>
    </w:p>
    <w:p w14:paraId="6AC7E46E" w14:textId="10767BC7" w:rsidR="005A502C" w:rsidRDefault="005A502C" w:rsidP="008E7DD4">
      <w:pPr>
        <w:shd w:val="clear" w:color="auto" w:fill="FFFFFF"/>
        <w:spacing w:after="100" w:afterAutospacing="1" w:line="276" w:lineRule="auto"/>
        <w:ind w:firstLine="720"/>
        <w:rPr>
          <w:rStyle w:val="Hyperlink"/>
          <w:szCs w:val="24"/>
        </w:rPr>
      </w:pPr>
      <w:bookmarkStart w:id="0" w:name="_Hlk23248940"/>
      <w:r w:rsidRPr="00CC104D">
        <w:rPr>
          <w:color w:val="000000"/>
          <w:szCs w:val="24"/>
        </w:rPr>
        <w:t xml:space="preserve">Since its debut in 1996, the exhibit has been on display in </w:t>
      </w:r>
      <w:r w:rsidR="008E7DD4">
        <w:rPr>
          <w:color w:val="000000"/>
          <w:szCs w:val="24"/>
        </w:rPr>
        <w:t>nearly 800</w:t>
      </w:r>
      <w:r w:rsidRPr="00CC104D">
        <w:rPr>
          <w:color w:val="000000"/>
          <w:szCs w:val="24"/>
        </w:rPr>
        <w:t xml:space="preserve"> U.S. communities in addition to an April 1999 tour of the Four Provinces of Ireland and a visit to Canada in 2005. </w:t>
      </w:r>
      <w:r w:rsidRPr="00CC104D">
        <w:rPr>
          <w:i/>
          <w:color w:val="000000"/>
          <w:szCs w:val="24"/>
        </w:rPr>
        <w:t>The Wall That Heals</w:t>
      </w:r>
      <w:r w:rsidRPr="00CC104D">
        <w:rPr>
          <w:color w:val="000000"/>
          <w:szCs w:val="24"/>
        </w:rPr>
        <w:t xml:space="preserve"> is a program of VVMF, the nonprofit organization that built the Vietnam Veterans Memorial in Washington, D.C. in 1982. </w:t>
      </w:r>
      <w:r w:rsidRPr="00CC104D">
        <w:rPr>
          <w:i/>
          <w:color w:val="000000"/>
          <w:szCs w:val="24"/>
        </w:rPr>
        <w:t>The Wall That Heals</w:t>
      </w:r>
      <w:r w:rsidRPr="00CC104D">
        <w:rPr>
          <w:color w:val="000000"/>
          <w:szCs w:val="24"/>
        </w:rPr>
        <w:t xml:space="preserve"> is the only traveling exhibit affiliated with The Wall in Washington, D.C. and includes the largest Wall replica that travels the country. Two VVMF staff members lead volunteers on site, educate visitors and students, and ensure the reflective atmosphere of The Wall. More information can be found at: </w:t>
      </w:r>
      <w:hyperlink r:id="rId12" w:history="1">
        <w:r w:rsidRPr="00CC104D">
          <w:rPr>
            <w:rStyle w:val="Hyperlink"/>
            <w:szCs w:val="24"/>
          </w:rPr>
          <w:t>www.thewallthatheals.org</w:t>
        </w:r>
      </w:hyperlink>
      <w:r w:rsidRPr="00CC104D">
        <w:rPr>
          <w:rStyle w:val="Hyperlink"/>
          <w:szCs w:val="24"/>
        </w:rPr>
        <w:t>.</w:t>
      </w:r>
    </w:p>
    <w:bookmarkEnd w:id="0"/>
    <w:p w14:paraId="11932E60" w14:textId="77777777" w:rsidR="005A502C" w:rsidRPr="00E01A31" w:rsidRDefault="005A502C" w:rsidP="008110E5">
      <w:pPr>
        <w:shd w:val="clear" w:color="auto" w:fill="FFFFFF"/>
        <w:rPr>
          <w:b/>
          <w:bCs/>
          <w:color w:val="000000"/>
          <w:szCs w:val="24"/>
        </w:rPr>
      </w:pPr>
    </w:p>
    <w:p w14:paraId="5666C741" w14:textId="77777777" w:rsidR="00AD05E9" w:rsidRDefault="00AD05E9" w:rsidP="00AD05E9">
      <w:pPr>
        <w:shd w:val="clear" w:color="auto" w:fill="FFFFFF"/>
        <w:spacing w:after="100" w:afterAutospacing="1" w:line="300" w:lineRule="atLeast"/>
        <w:rPr>
          <w:b/>
          <w:bCs/>
          <w:color w:val="000000"/>
          <w:szCs w:val="24"/>
        </w:rPr>
      </w:pPr>
      <w:r w:rsidRPr="00E01A31">
        <w:rPr>
          <w:b/>
          <w:bCs/>
          <w:color w:val="000000"/>
          <w:szCs w:val="24"/>
        </w:rPr>
        <w:t xml:space="preserve">About VVMF </w:t>
      </w:r>
    </w:p>
    <w:p w14:paraId="3FF6F329" w14:textId="77777777" w:rsidR="00514036" w:rsidRPr="00994948" w:rsidRDefault="00514036" w:rsidP="008E7DD4">
      <w:pPr>
        <w:shd w:val="clear" w:color="auto" w:fill="FFFFFF"/>
        <w:spacing w:line="276" w:lineRule="auto"/>
        <w:ind w:firstLine="720"/>
        <w:jc w:val="both"/>
        <w:rPr>
          <w:szCs w:val="24"/>
        </w:rPr>
      </w:pPr>
      <w:r w:rsidRPr="00994948">
        <w:rPr>
          <w:szCs w:val="24"/>
        </w:rPr>
        <w:t>The Vietnam Veterans Memorial Fund (VVMF) is the non</w:t>
      </w:r>
      <w:r>
        <w:rPr>
          <w:szCs w:val="24"/>
        </w:rPr>
        <w:t>profit organization that built</w:t>
      </w:r>
      <w:r w:rsidRPr="00994948">
        <w:rPr>
          <w:szCs w:val="24"/>
        </w:rPr>
        <w:t xml:space="preserve"> the Vietnam Veterans Memorial (The Wall) in Washington, D.C. in 1982. VVMF continues to lead the way in paying tribute to our nation’s Vietnam veterans and their families. VVMF’s mission is to honor and preserve the legacy of service in America and educate all generations about the im</w:t>
      </w:r>
      <w:r>
        <w:rPr>
          <w:szCs w:val="24"/>
        </w:rPr>
        <w:t xml:space="preserve">pact of the Vietnam War and era </w:t>
      </w:r>
      <w:r w:rsidRPr="00E83A47">
        <w:rPr>
          <w:color w:val="000000"/>
          <w:szCs w:val="24"/>
        </w:rPr>
        <w:t>through programs, ceremonies and education materials.</w:t>
      </w:r>
      <w:r>
        <w:rPr>
          <w:color w:val="000000"/>
          <w:szCs w:val="24"/>
        </w:rPr>
        <w:t xml:space="preserve"> </w:t>
      </w:r>
      <w:r w:rsidRPr="00E83A47">
        <w:rPr>
          <w:color w:val="000000"/>
          <w:szCs w:val="24"/>
        </w:rPr>
        <w:t>To learn more about VVMF, visit www.vvmf.org or call 202-393-0090.</w:t>
      </w:r>
    </w:p>
    <w:p w14:paraId="7FDB50F8" w14:textId="77777777" w:rsidR="00057D7E" w:rsidRPr="00E01A31" w:rsidRDefault="00115BED" w:rsidP="004E546E">
      <w:pPr>
        <w:pStyle w:val="BodyTextIndent"/>
        <w:spacing w:line="360" w:lineRule="auto"/>
        <w:jc w:val="center"/>
        <w:rPr>
          <w:i w:val="0"/>
          <w:szCs w:val="24"/>
        </w:rPr>
      </w:pPr>
      <w:r w:rsidRPr="00E01A31">
        <w:rPr>
          <w:i w:val="0"/>
          <w:szCs w:val="24"/>
        </w:rPr>
        <w:t>#</w:t>
      </w:r>
      <w:r w:rsidR="00F05CBA" w:rsidRPr="00E01A31">
        <w:rPr>
          <w:i w:val="0"/>
          <w:szCs w:val="24"/>
        </w:rPr>
        <w:t xml:space="preserve">     </w:t>
      </w:r>
      <w:r w:rsidRPr="00E01A31">
        <w:rPr>
          <w:i w:val="0"/>
          <w:szCs w:val="24"/>
        </w:rPr>
        <w:t>#</w:t>
      </w:r>
      <w:r w:rsidR="00F05CBA" w:rsidRPr="00E01A31">
        <w:rPr>
          <w:i w:val="0"/>
          <w:szCs w:val="24"/>
        </w:rPr>
        <w:t xml:space="preserve">     </w:t>
      </w:r>
      <w:r w:rsidRPr="00E01A31">
        <w:rPr>
          <w:i w:val="0"/>
          <w:szCs w:val="24"/>
        </w:rPr>
        <w:t>#</w:t>
      </w:r>
    </w:p>
    <w:sectPr w:rsidR="00057D7E" w:rsidRPr="00E01A31" w:rsidSect="00FF1CC2">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85C54" w14:textId="77777777" w:rsidR="007F0C35" w:rsidRDefault="007F0C35">
      <w:r>
        <w:separator/>
      </w:r>
    </w:p>
  </w:endnote>
  <w:endnote w:type="continuationSeparator" w:id="0">
    <w:p w14:paraId="55F620A9" w14:textId="77777777" w:rsidR="007F0C35" w:rsidRDefault="007F0C35">
      <w:r>
        <w:continuationSeparator/>
      </w:r>
    </w:p>
  </w:endnote>
  <w:endnote w:type="continuationNotice" w:id="1">
    <w:p w14:paraId="35DD6FD7" w14:textId="77777777" w:rsidR="00D2277C" w:rsidRDefault="00D227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adua">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E359FC" w14:textId="77777777" w:rsidR="007F0C35" w:rsidRDefault="007F0C35">
      <w:r>
        <w:separator/>
      </w:r>
    </w:p>
  </w:footnote>
  <w:footnote w:type="continuationSeparator" w:id="0">
    <w:p w14:paraId="1A8EE8D9" w14:textId="77777777" w:rsidR="007F0C35" w:rsidRDefault="007F0C35">
      <w:r>
        <w:continuationSeparator/>
      </w:r>
    </w:p>
  </w:footnote>
  <w:footnote w:type="continuationNotice" w:id="1">
    <w:p w14:paraId="259CB980" w14:textId="77777777" w:rsidR="00D2277C" w:rsidRDefault="00D2277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8B9"/>
    <w:rsid w:val="000072B4"/>
    <w:rsid w:val="00030C7B"/>
    <w:rsid w:val="0003276D"/>
    <w:rsid w:val="000459E2"/>
    <w:rsid w:val="000477F2"/>
    <w:rsid w:val="00057D7E"/>
    <w:rsid w:val="0006022D"/>
    <w:rsid w:val="000700C8"/>
    <w:rsid w:val="000827B7"/>
    <w:rsid w:val="000A32CC"/>
    <w:rsid w:val="000B2FBA"/>
    <w:rsid w:val="000C546E"/>
    <w:rsid w:val="000D1397"/>
    <w:rsid w:val="00111BB1"/>
    <w:rsid w:val="00115BED"/>
    <w:rsid w:val="001221C0"/>
    <w:rsid w:val="00141203"/>
    <w:rsid w:val="00160F7B"/>
    <w:rsid w:val="00170C7A"/>
    <w:rsid w:val="001768BC"/>
    <w:rsid w:val="00187B8C"/>
    <w:rsid w:val="00195039"/>
    <w:rsid w:val="001A50F0"/>
    <w:rsid w:val="001B69BE"/>
    <w:rsid w:val="001C7EDA"/>
    <w:rsid w:val="001E5224"/>
    <w:rsid w:val="001F3EF2"/>
    <w:rsid w:val="002135E4"/>
    <w:rsid w:val="00214F03"/>
    <w:rsid w:val="002171F2"/>
    <w:rsid w:val="0022076C"/>
    <w:rsid w:val="002415B4"/>
    <w:rsid w:val="00245FA0"/>
    <w:rsid w:val="00254037"/>
    <w:rsid w:val="002553F6"/>
    <w:rsid w:val="002814FB"/>
    <w:rsid w:val="002A4FEB"/>
    <w:rsid w:val="002F21BD"/>
    <w:rsid w:val="003312CC"/>
    <w:rsid w:val="00347BF1"/>
    <w:rsid w:val="00376DD6"/>
    <w:rsid w:val="00397CF3"/>
    <w:rsid w:val="003A4C47"/>
    <w:rsid w:val="003B45A8"/>
    <w:rsid w:val="003B62F7"/>
    <w:rsid w:val="003D6EA1"/>
    <w:rsid w:val="003E1DB6"/>
    <w:rsid w:val="003E3CB0"/>
    <w:rsid w:val="004062CB"/>
    <w:rsid w:val="0043565F"/>
    <w:rsid w:val="00436900"/>
    <w:rsid w:val="004612A0"/>
    <w:rsid w:val="00480CA8"/>
    <w:rsid w:val="004933C3"/>
    <w:rsid w:val="004B1C52"/>
    <w:rsid w:val="004C7C1B"/>
    <w:rsid w:val="004E1EEE"/>
    <w:rsid w:val="004E26B6"/>
    <w:rsid w:val="004E546E"/>
    <w:rsid w:val="004E7DB9"/>
    <w:rsid w:val="00506939"/>
    <w:rsid w:val="00514036"/>
    <w:rsid w:val="00517865"/>
    <w:rsid w:val="005407C3"/>
    <w:rsid w:val="00550778"/>
    <w:rsid w:val="00556764"/>
    <w:rsid w:val="00582B48"/>
    <w:rsid w:val="00594CB0"/>
    <w:rsid w:val="00597F89"/>
    <w:rsid w:val="005A502C"/>
    <w:rsid w:val="005A6D2D"/>
    <w:rsid w:val="005C7EB2"/>
    <w:rsid w:val="00603DF6"/>
    <w:rsid w:val="00604716"/>
    <w:rsid w:val="00631886"/>
    <w:rsid w:val="006330FB"/>
    <w:rsid w:val="0063575A"/>
    <w:rsid w:val="0064072C"/>
    <w:rsid w:val="00645D57"/>
    <w:rsid w:val="0066108B"/>
    <w:rsid w:val="00674FEF"/>
    <w:rsid w:val="006B4C62"/>
    <w:rsid w:val="006B6A7F"/>
    <w:rsid w:val="006D2E4F"/>
    <w:rsid w:val="006D4D1F"/>
    <w:rsid w:val="006E2E3C"/>
    <w:rsid w:val="007132DE"/>
    <w:rsid w:val="007148E4"/>
    <w:rsid w:val="007252BF"/>
    <w:rsid w:val="007321F4"/>
    <w:rsid w:val="007527E6"/>
    <w:rsid w:val="00790809"/>
    <w:rsid w:val="007A161A"/>
    <w:rsid w:val="007B0000"/>
    <w:rsid w:val="007B235D"/>
    <w:rsid w:val="007E7691"/>
    <w:rsid w:val="007F0C35"/>
    <w:rsid w:val="008110E5"/>
    <w:rsid w:val="008274F3"/>
    <w:rsid w:val="008559BC"/>
    <w:rsid w:val="008730FF"/>
    <w:rsid w:val="008C3F43"/>
    <w:rsid w:val="008E7DD4"/>
    <w:rsid w:val="008F1F27"/>
    <w:rsid w:val="00903AD8"/>
    <w:rsid w:val="00930D20"/>
    <w:rsid w:val="00932DFD"/>
    <w:rsid w:val="0093654E"/>
    <w:rsid w:val="00946B32"/>
    <w:rsid w:val="009B166B"/>
    <w:rsid w:val="009D0509"/>
    <w:rsid w:val="009E25E6"/>
    <w:rsid w:val="009E6511"/>
    <w:rsid w:val="00A25B24"/>
    <w:rsid w:val="00A3362C"/>
    <w:rsid w:val="00A33C3E"/>
    <w:rsid w:val="00A434D4"/>
    <w:rsid w:val="00A57896"/>
    <w:rsid w:val="00A843A5"/>
    <w:rsid w:val="00A92B50"/>
    <w:rsid w:val="00A95190"/>
    <w:rsid w:val="00AB116E"/>
    <w:rsid w:val="00AD05E9"/>
    <w:rsid w:val="00AE2342"/>
    <w:rsid w:val="00B171BC"/>
    <w:rsid w:val="00B17AEA"/>
    <w:rsid w:val="00B235B7"/>
    <w:rsid w:val="00B45647"/>
    <w:rsid w:val="00B677C9"/>
    <w:rsid w:val="00B816B7"/>
    <w:rsid w:val="00B97A45"/>
    <w:rsid w:val="00BB39E2"/>
    <w:rsid w:val="00BB6F47"/>
    <w:rsid w:val="00BC0544"/>
    <w:rsid w:val="00BC6BEA"/>
    <w:rsid w:val="00BD65DF"/>
    <w:rsid w:val="00C0364C"/>
    <w:rsid w:val="00C07D75"/>
    <w:rsid w:val="00C84D1B"/>
    <w:rsid w:val="00CA5EF7"/>
    <w:rsid w:val="00CC104D"/>
    <w:rsid w:val="00CD49AA"/>
    <w:rsid w:val="00CD72D6"/>
    <w:rsid w:val="00CE1A36"/>
    <w:rsid w:val="00CF66E8"/>
    <w:rsid w:val="00D0249F"/>
    <w:rsid w:val="00D0406A"/>
    <w:rsid w:val="00D138A8"/>
    <w:rsid w:val="00D2277C"/>
    <w:rsid w:val="00D4044D"/>
    <w:rsid w:val="00D404DC"/>
    <w:rsid w:val="00D72DF1"/>
    <w:rsid w:val="00D83C3A"/>
    <w:rsid w:val="00E01A31"/>
    <w:rsid w:val="00E208FA"/>
    <w:rsid w:val="00E232FC"/>
    <w:rsid w:val="00E36A85"/>
    <w:rsid w:val="00E37F7D"/>
    <w:rsid w:val="00E42DC1"/>
    <w:rsid w:val="00E849A4"/>
    <w:rsid w:val="00EA237A"/>
    <w:rsid w:val="00EB43BE"/>
    <w:rsid w:val="00EC41B8"/>
    <w:rsid w:val="00F01F40"/>
    <w:rsid w:val="00F05CBA"/>
    <w:rsid w:val="00F16356"/>
    <w:rsid w:val="00F3513D"/>
    <w:rsid w:val="00F379AA"/>
    <w:rsid w:val="00F41AA6"/>
    <w:rsid w:val="00F45570"/>
    <w:rsid w:val="00F63432"/>
    <w:rsid w:val="00F777A9"/>
    <w:rsid w:val="00F83104"/>
    <w:rsid w:val="00F86109"/>
    <w:rsid w:val="00F97E31"/>
    <w:rsid w:val="00FA618E"/>
    <w:rsid w:val="00FB0A1B"/>
    <w:rsid w:val="00FB3BC6"/>
    <w:rsid w:val="00FB41A8"/>
    <w:rsid w:val="00FB5BFE"/>
    <w:rsid w:val="00FD08B9"/>
    <w:rsid w:val="00FD29B4"/>
    <w:rsid w:val="00FF1CC2"/>
    <w:rsid w:val="0141BA03"/>
    <w:rsid w:val="16FD0E01"/>
    <w:rsid w:val="20928E1A"/>
    <w:rsid w:val="2DF6C6EE"/>
    <w:rsid w:val="39CF757D"/>
    <w:rsid w:val="4075BA9B"/>
    <w:rsid w:val="421BC92E"/>
    <w:rsid w:val="4708229F"/>
    <w:rsid w:val="6D472E19"/>
    <w:rsid w:val="73E93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649FE2"/>
  <w15:docId w15:val="{CDE30BF7-1E19-418E-B886-4051DDA93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08B9"/>
    <w:rPr>
      <w:sz w:val="24"/>
    </w:rPr>
  </w:style>
  <w:style w:type="paragraph" w:styleId="Heading1">
    <w:name w:val="heading 1"/>
    <w:basedOn w:val="Normal"/>
    <w:next w:val="Normal"/>
    <w:qFormat/>
    <w:rsid w:val="00FD08B9"/>
    <w:pPr>
      <w:keepNext/>
      <w:outlineLvl w:val="0"/>
    </w:pPr>
    <w:rPr>
      <w:rFonts w:ascii="Padua" w:hAnsi="Padua"/>
      <w:sz w:val="32"/>
    </w:rPr>
  </w:style>
  <w:style w:type="paragraph" w:styleId="Heading2">
    <w:name w:val="heading 2"/>
    <w:basedOn w:val="Normal"/>
    <w:next w:val="Normal"/>
    <w:qFormat/>
    <w:rsid w:val="00FD08B9"/>
    <w:pPr>
      <w:keepNext/>
      <w:outlineLvl w:val="1"/>
    </w:pPr>
    <w:rPr>
      <w:rFonts w:ascii="Padua" w:hAnsi="Padua"/>
    </w:rPr>
  </w:style>
  <w:style w:type="paragraph" w:styleId="Heading3">
    <w:name w:val="heading 3"/>
    <w:basedOn w:val="Normal"/>
    <w:next w:val="Normal"/>
    <w:qFormat/>
    <w:rsid w:val="00FD08B9"/>
    <w:pPr>
      <w:keepNext/>
      <w:outlineLvl w:val="2"/>
    </w:pPr>
    <w:rPr>
      <w:b/>
      <w:sz w:val="36"/>
    </w:rPr>
  </w:style>
  <w:style w:type="paragraph" w:styleId="Heading4">
    <w:name w:val="heading 4"/>
    <w:basedOn w:val="Normal"/>
    <w:next w:val="Normal"/>
    <w:qFormat/>
    <w:rsid w:val="00FD08B9"/>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D08B9"/>
    <w:rPr>
      <w:rFonts w:ascii="Padua" w:hAnsi="Padua"/>
    </w:rPr>
  </w:style>
  <w:style w:type="paragraph" w:styleId="BodyTextIndent">
    <w:name w:val="Body Text Indent"/>
    <w:basedOn w:val="Normal"/>
    <w:rsid w:val="00FD08B9"/>
    <w:rPr>
      <w:i/>
    </w:rPr>
  </w:style>
  <w:style w:type="paragraph" w:styleId="Footer">
    <w:name w:val="footer"/>
    <w:basedOn w:val="Normal"/>
    <w:link w:val="FooterChar"/>
    <w:rsid w:val="00FD08B9"/>
    <w:pPr>
      <w:tabs>
        <w:tab w:val="center" w:pos="4320"/>
        <w:tab w:val="right" w:pos="8640"/>
      </w:tabs>
    </w:pPr>
  </w:style>
  <w:style w:type="paragraph" w:styleId="Header">
    <w:name w:val="header"/>
    <w:basedOn w:val="Normal"/>
    <w:link w:val="HeaderChar"/>
    <w:uiPriority w:val="99"/>
    <w:rsid w:val="00FD08B9"/>
    <w:pPr>
      <w:tabs>
        <w:tab w:val="center" w:pos="4320"/>
        <w:tab w:val="right" w:pos="8640"/>
      </w:tabs>
    </w:pPr>
  </w:style>
  <w:style w:type="character" w:customStyle="1" w:styleId="HeaderChar">
    <w:name w:val="Header Char"/>
    <w:basedOn w:val="DefaultParagraphFont"/>
    <w:link w:val="Header"/>
    <w:uiPriority w:val="99"/>
    <w:rsid w:val="004E546E"/>
    <w:rPr>
      <w:sz w:val="24"/>
    </w:rPr>
  </w:style>
  <w:style w:type="paragraph" w:styleId="BalloonText">
    <w:name w:val="Balloon Text"/>
    <w:basedOn w:val="Normal"/>
    <w:link w:val="BalloonTextChar"/>
    <w:rsid w:val="004E546E"/>
    <w:rPr>
      <w:rFonts w:ascii="Tahoma" w:hAnsi="Tahoma" w:cs="Tahoma"/>
      <w:sz w:val="16"/>
      <w:szCs w:val="16"/>
    </w:rPr>
  </w:style>
  <w:style w:type="character" w:customStyle="1" w:styleId="BalloonTextChar">
    <w:name w:val="Balloon Text Char"/>
    <w:basedOn w:val="DefaultParagraphFont"/>
    <w:link w:val="BalloonText"/>
    <w:rsid w:val="004E546E"/>
    <w:rPr>
      <w:rFonts w:ascii="Tahoma" w:hAnsi="Tahoma" w:cs="Tahoma"/>
      <w:sz w:val="16"/>
      <w:szCs w:val="16"/>
    </w:rPr>
  </w:style>
  <w:style w:type="character" w:styleId="Hyperlink">
    <w:name w:val="Hyperlink"/>
    <w:basedOn w:val="DefaultParagraphFont"/>
    <w:uiPriority w:val="99"/>
    <w:unhideWhenUsed/>
    <w:rsid w:val="004E546E"/>
    <w:rPr>
      <w:color w:val="0000FF" w:themeColor="hyperlink"/>
      <w:u w:val="single"/>
    </w:rPr>
  </w:style>
  <w:style w:type="character" w:customStyle="1" w:styleId="FooterChar">
    <w:name w:val="Footer Char"/>
    <w:basedOn w:val="DefaultParagraphFont"/>
    <w:link w:val="Footer"/>
    <w:rsid w:val="004E546E"/>
    <w:rPr>
      <w:sz w:val="24"/>
    </w:rPr>
  </w:style>
  <w:style w:type="character" w:styleId="FollowedHyperlink">
    <w:name w:val="FollowedHyperlink"/>
    <w:basedOn w:val="DefaultParagraphFont"/>
    <w:semiHidden/>
    <w:unhideWhenUsed/>
    <w:rsid w:val="000827B7"/>
    <w:rPr>
      <w:color w:val="800080" w:themeColor="followedHyperlink"/>
      <w:u w:val="single"/>
    </w:rPr>
  </w:style>
  <w:style w:type="character" w:styleId="UnresolvedMention">
    <w:name w:val="Unresolved Mention"/>
    <w:basedOn w:val="DefaultParagraphFont"/>
    <w:uiPriority w:val="99"/>
    <w:semiHidden/>
    <w:unhideWhenUsed/>
    <w:rsid w:val="00F831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289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thewallthatheals.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muller@montgomerytwp.org"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c1fe2bb-102c-4342-8382-0b123bdf3cec" xsi:nil="true"/>
    <lcf76f155ced4ddcb4097134ff3c332f xmlns="bd505647-ab1f-4480-8420-a588d3ced92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B01E38DDE06F045B475D9B3C854CBBD" ma:contentTypeVersion="11" ma:contentTypeDescription="Create a new document." ma:contentTypeScope="" ma:versionID="23bed86c098cf0dead36ab57a4aeeda5">
  <xsd:schema xmlns:xsd="http://www.w3.org/2001/XMLSchema" xmlns:xs="http://www.w3.org/2001/XMLSchema" xmlns:p="http://schemas.microsoft.com/office/2006/metadata/properties" xmlns:ns2="bd505647-ab1f-4480-8420-a588d3ced924" xmlns:ns3="ec1fe2bb-102c-4342-8382-0b123bdf3cec" targetNamespace="http://schemas.microsoft.com/office/2006/metadata/properties" ma:root="true" ma:fieldsID="1c85afe737ad8e54f6dfb22fe632339a" ns2:_="" ns3:_="">
    <xsd:import namespace="bd505647-ab1f-4480-8420-a588d3ced924"/>
    <xsd:import namespace="ec1fe2bb-102c-4342-8382-0b123bdf3cec"/>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05647-ab1f-4480-8420-a588d3ced924"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7e9dda12-d4e8-4ead-89f7-5abaab8f837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c1fe2bb-102c-4342-8382-0b123bdf3cec"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6840792-a499-4554-ab3d-029e3e9636f6}" ma:internalName="TaxCatchAll" ma:showField="CatchAllData" ma:web="ec1fe2bb-102c-4342-8382-0b123bdf3c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67F1FD-678C-4F9D-AC57-738637D29144}">
  <ds:schemaRefs>
    <ds:schemaRef ds:uri="http://schemas.microsoft.com/sharepoint/v3/contenttype/forms"/>
  </ds:schemaRefs>
</ds:datastoreItem>
</file>

<file path=customXml/itemProps2.xml><?xml version="1.0" encoding="utf-8"?>
<ds:datastoreItem xmlns:ds="http://schemas.openxmlformats.org/officeDocument/2006/customXml" ds:itemID="{2143A060-7AE1-4562-8DCB-C8A722BEBE4B}">
  <ds:schemaRefs>
    <ds:schemaRef ds:uri="http://purl.org/dc/dcmitype/"/>
    <ds:schemaRef ds:uri="http://purl.org/dc/terms/"/>
    <ds:schemaRef ds:uri="http://www.w3.org/XML/1998/namespace"/>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ec1fe2bb-102c-4342-8382-0b123bdf3cec"/>
    <ds:schemaRef ds:uri="bd505647-ab1f-4480-8420-a588d3ced924"/>
    <ds:schemaRef ds:uri="http://schemas.microsoft.com/office/2006/metadata/properties"/>
  </ds:schemaRefs>
</ds:datastoreItem>
</file>

<file path=customXml/itemProps3.xml><?xml version="1.0" encoding="utf-8"?>
<ds:datastoreItem xmlns:ds="http://schemas.openxmlformats.org/officeDocument/2006/customXml" ds:itemID="{9D7B56CD-CA92-4205-A89D-6F01FF7E9DD3}"/>
</file>

<file path=docProps/app.xml><?xml version="1.0" encoding="utf-8"?>
<Properties xmlns="http://schemas.openxmlformats.org/officeDocument/2006/extended-properties" xmlns:vt="http://schemas.openxmlformats.org/officeDocument/2006/docPropsVTypes">
  <Template>Normal</Template>
  <TotalTime>67</TotalTime>
  <Pages>2</Pages>
  <Words>826</Words>
  <Characters>4648</Characters>
  <Application>Microsoft Office Word</Application>
  <DocSecurity>0</DocSecurity>
  <Lines>166</Lines>
  <Paragraphs>176</Paragraphs>
  <ScaleCrop>false</ScaleCrop>
  <Company>VVMF</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MEMORIAL FUND PRESS RELEASE</dc:title>
  <dc:creator>Daniel Schenk</dc:creator>
  <cp:lastModifiedBy>Derek Muller</cp:lastModifiedBy>
  <cp:revision>25</cp:revision>
  <cp:lastPrinted>2018-12-06T15:12:00Z</cp:lastPrinted>
  <dcterms:created xsi:type="dcterms:W3CDTF">2024-11-19T01:52:00Z</dcterms:created>
  <dcterms:modified xsi:type="dcterms:W3CDTF">2024-11-26T15:38:00Z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0x0101001B01E38DDE06F045B475D9B3C854CBBD</vt:lpwstr>
  </property>
  <property fmtid="{D5CDD505-2E9C-101B-9397-08002B2CF9AE}" pid="3" name="MediaServiceImageTags">
    <vt:lpwstr/>
  </property>
</Properties>
</file>